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4ECB" w:rsidRDefault="00CB4ECB" w:rsidP="00FA217D">
      <w:pPr>
        <w:jc w:val="center"/>
        <w:rPr>
          <w:rFonts w:ascii="Arial" w:hAnsi="Arial" w:cs="Arial"/>
          <w:b/>
          <w:sz w:val="20"/>
          <w:szCs w:val="20"/>
        </w:rPr>
      </w:pPr>
      <w:bookmarkStart w:id="0" w:name="_Hlk82471863"/>
    </w:p>
    <w:p w:rsidR="00FA217D" w:rsidRPr="00332E5D" w:rsidRDefault="00CB4ECB" w:rsidP="00332E5D">
      <w:pPr>
        <w:jc w:val="center"/>
        <w:rPr>
          <w:rFonts w:ascii="Arial" w:hAnsi="Arial" w:cs="Arial"/>
          <w:b/>
          <w:sz w:val="20"/>
          <w:szCs w:val="20"/>
        </w:rPr>
      </w:pPr>
      <w:r>
        <w:rPr>
          <w:rFonts w:ascii="Arial" w:hAnsi="Arial" w:cs="Arial"/>
          <w:b/>
          <w:sz w:val="20"/>
          <w:szCs w:val="20"/>
        </w:rPr>
        <w:t>A</w:t>
      </w:r>
      <w:r w:rsidR="00FA217D" w:rsidRPr="008569EE">
        <w:rPr>
          <w:rFonts w:ascii="Arial" w:hAnsi="Arial" w:cs="Arial"/>
          <w:b/>
          <w:sz w:val="20"/>
          <w:szCs w:val="20"/>
        </w:rPr>
        <w:t xml:space="preserve">NEXO </w:t>
      </w:r>
      <w:r w:rsidR="00FA217D">
        <w:rPr>
          <w:rFonts w:ascii="Arial" w:hAnsi="Arial" w:cs="Arial"/>
          <w:b/>
          <w:sz w:val="20"/>
          <w:szCs w:val="20"/>
        </w:rPr>
        <w:t>2</w:t>
      </w:r>
      <w:r w:rsidR="00FA217D" w:rsidRPr="008569EE">
        <w:rPr>
          <w:rFonts w:ascii="Arial" w:hAnsi="Arial" w:cs="Arial"/>
          <w:b/>
          <w:sz w:val="20"/>
          <w:szCs w:val="20"/>
        </w:rPr>
        <w:t xml:space="preserve"> – TERMO DE REFERÊNCIA</w:t>
      </w:r>
    </w:p>
    <w:p w:rsidR="00FA217D" w:rsidRPr="00BB3B4A" w:rsidRDefault="00FA217D" w:rsidP="00332E5D">
      <w:pPr>
        <w:spacing w:before="120" w:afterLines="120" w:line="312" w:lineRule="auto"/>
        <w:jc w:val="center"/>
        <w:rPr>
          <w:rFonts w:ascii="Arial" w:hAnsi="Arial" w:cs="Arial"/>
          <w:bCs/>
          <w:color w:val="000000"/>
          <w:sz w:val="22"/>
          <w:szCs w:val="22"/>
        </w:rPr>
      </w:pPr>
      <w:r w:rsidRPr="00BB3B4A">
        <w:rPr>
          <w:rFonts w:ascii="Arial" w:hAnsi="Arial" w:cs="Arial"/>
          <w:color w:val="000000"/>
          <w:sz w:val="22"/>
          <w:szCs w:val="22"/>
        </w:rPr>
        <w:t>(Processo Administrativo n</w:t>
      </w:r>
      <w:r w:rsidR="00332E5D">
        <w:rPr>
          <w:rFonts w:ascii="Arial" w:hAnsi="Arial" w:cs="Arial"/>
          <w:bCs/>
          <w:color w:val="000000"/>
          <w:sz w:val="22"/>
          <w:szCs w:val="22"/>
        </w:rPr>
        <w:t>° 3036</w:t>
      </w:r>
      <w:r w:rsidR="00CB4ECB" w:rsidRPr="00BB3B4A">
        <w:rPr>
          <w:rFonts w:ascii="Arial" w:hAnsi="Arial" w:cs="Arial"/>
          <w:bCs/>
          <w:color w:val="000000"/>
          <w:sz w:val="22"/>
          <w:szCs w:val="22"/>
        </w:rPr>
        <w:t>/2026</w:t>
      </w:r>
      <w:r w:rsidRPr="00BB3B4A">
        <w:rPr>
          <w:rFonts w:ascii="Arial" w:hAnsi="Arial" w:cs="Arial"/>
          <w:bCs/>
          <w:color w:val="000000"/>
          <w:sz w:val="22"/>
          <w:szCs w:val="22"/>
        </w:rPr>
        <w:t>)</w:t>
      </w:r>
    </w:p>
    <w:p w:rsidR="00FA217D" w:rsidRPr="00BB3B4A" w:rsidRDefault="00FA217D" w:rsidP="00332E5D">
      <w:pPr>
        <w:pStyle w:val="Nivel01"/>
        <w:numPr>
          <w:ilvl w:val="0"/>
          <w:numId w:val="3"/>
        </w:numPr>
        <w:spacing w:before="120" w:afterLines="120" w:line="312" w:lineRule="auto"/>
        <w:ind w:left="0" w:firstLine="0"/>
        <w:rPr>
          <w:sz w:val="22"/>
          <w:szCs w:val="22"/>
        </w:rPr>
      </w:pPr>
      <w:r w:rsidRPr="00BB3B4A">
        <w:rPr>
          <w:sz w:val="22"/>
          <w:szCs w:val="22"/>
        </w:rPr>
        <w:t>CONDIÇÕES GERAIS DA CONTRATAÇÃO</w:t>
      </w:r>
    </w:p>
    <w:p w:rsidR="00FA217D" w:rsidRPr="00332E5D" w:rsidRDefault="00FA217D" w:rsidP="00FA217D">
      <w:pPr>
        <w:pStyle w:val="PargrafodaLista"/>
        <w:numPr>
          <w:ilvl w:val="0"/>
          <w:numId w:val="1"/>
        </w:numPr>
        <w:spacing w:after="200" w:line="276" w:lineRule="auto"/>
        <w:jc w:val="both"/>
        <w:rPr>
          <w:rFonts w:ascii="Arial" w:hAnsi="Arial" w:cs="Arial"/>
          <w:color w:val="000000" w:themeColor="text1"/>
          <w:sz w:val="22"/>
          <w:szCs w:val="22"/>
        </w:rPr>
      </w:pPr>
      <w:r w:rsidRPr="00332E5D">
        <w:rPr>
          <w:rFonts w:ascii="Arial" w:hAnsi="Arial" w:cs="Arial"/>
          <w:color w:val="000000" w:themeColor="text1"/>
          <w:sz w:val="22"/>
          <w:szCs w:val="22"/>
        </w:rPr>
        <w:t xml:space="preserve">   Constitui objeto deste Estudo Técnico Preliminar a elaboração de Dispensa de Licitação, em razão do valor em sua forma </w:t>
      </w:r>
      <w:r w:rsidR="00BB3B4A" w:rsidRPr="00332E5D">
        <w:rPr>
          <w:rFonts w:ascii="Arial" w:hAnsi="Arial" w:cs="Arial"/>
          <w:color w:val="000000" w:themeColor="text1"/>
          <w:sz w:val="22"/>
          <w:szCs w:val="22"/>
        </w:rPr>
        <w:t>FISÍ</w:t>
      </w:r>
      <w:r w:rsidRPr="00332E5D">
        <w:rPr>
          <w:rFonts w:ascii="Arial" w:hAnsi="Arial" w:cs="Arial"/>
          <w:color w:val="000000" w:themeColor="text1"/>
          <w:sz w:val="22"/>
          <w:szCs w:val="22"/>
        </w:rPr>
        <w:t>CA, com base no art. 75, in</w:t>
      </w:r>
      <w:r w:rsidRPr="00332E5D">
        <w:rPr>
          <w:rFonts w:ascii="Arial" w:hAnsi="Arial" w:cs="Arial"/>
          <w:b/>
          <w:color w:val="000000" w:themeColor="text1"/>
          <w:sz w:val="22"/>
          <w:szCs w:val="22"/>
        </w:rPr>
        <w:t>ciso II, da Lei n.º 14.133/21,</w:t>
      </w:r>
      <w:r w:rsidR="00332E5D">
        <w:rPr>
          <w:rFonts w:ascii="Arial" w:hAnsi="Arial" w:cs="Arial"/>
          <w:color w:val="000000" w:themeColor="text1"/>
          <w:sz w:val="22"/>
          <w:szCs w:val="22"/>
        </w:rPr>
        <w:t xml:space="preserve"> </w:t>
      </w:r>
      <w:r w:rsidR="00332E5D" w:rsidRPr="00DB6386">
        <w:rPr>
          <w:rFonts w:ascii="Arial" w:hAnsi="Arial" w:cs="Arial"/>
          <w:color w:val="000000" w:themeColor="text1"/>
          <w:sz w:val="22"/>
          <w:szCs w:val="22"/>
        </w:rPr>
        <w:t xml:space="preserve">para </w:t>
      </w:r>
      <w:r w:rsidR="00332E5D">
        <w:rPr>
          <w:rFonts w:ascii="Arial" w:hAnsi="Arial" w:cs="Arial"/>
          <w:color w:val="000000" w:themeColor="text1"/>
          <w:sz w:val="22"/>
          <w:szCs w:val="22"/>
        </w:rPr>
        <w:t>a contratação de empresa especializada na manutenção do sistema de injeção de combustível da motoniveladora.</w:t>
      </w:r>
    </w:p>
    <w:tbl>
      <w:tblPr>
        <w:tblW w:w="946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09"/>
        <w:gridCol w:w="2806"/>
        <w:gridCol w:w="1276"/>
        <w:gridCol w:w="992"/>
        <w:gridCol w:w="1276"/>
        <w:gridCol w:w="1295"/>
        <w:gridCol w:w="1115"/>
      </w:tblGrid>
      <w:tr w:rsidR="00FA217D" w:rsidRPr="00BB3B4A" w:rsidTr="00BB3B4A">
        <w:trPr>
          <w:trHeight w:val="1306"/>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A217D" w:rsidRPr="00BB3B4A" w:rsidRDefault="00FA217D" w:rsidP="00332E5D">
            <w:pPr>
              <w:suppressAutoHyphens/>
              <w:spacing w:before="120" w:afterLines="120" w:line="312" w:lineRule="auto"/>
              <w:jc w:val="center"/>
              <w:rPr>
                <w:rFonts w:ascii="Arial" w:eastAsia="Arial" w:hAnsi="Arial" w:cs="Arial"/>
                <w:b/>
                <w:bCs/>
                <w:color w:val="000000"/>
                <w:sz w:val="22"/>
                <w:szCs w:val="22"/>
              </w:rPr>
            </w:pPr>
            <w:r w:rsidRPr="00BB3B4A">
              <w:rPr>
                <w:rFonts w:ascii="Arial" w:eastAsia="Arial" w:hAnsi="Arial" w:cs="Arial"/>
                <w:b/>
                <w:bCs/>
                <w:color w:val="000000" w:themeColor="text1"/>
                <w:sz w:val="22"/>
                <w:szCs w:val="22"/>
              </w:rPr>
              <w:t>ITEM</w:t>
            </w:r>
          </w:p>
          <w:p w:rsidR="00FA217D" w:rsidRPr="00BB3B4A" w:rsidRDefault="00FA217D" w:rsidP="00332E5D">
            <w:pPr>
              <w:suppressAutoHyphens/>
              <w:spacing w:before="120" w:afterLines="120" w:line="312" w:lineRule="auto"/>
              <w:jc w:val="center"/>
              <w:rPr>
                <w:rFonts w:ascii="Arial" w:eastAsia="Arial" w:hAnsi="Arial" w:cs="Arial"/>
                <w:b/>
                <w:bCs/>
                <w:color w:val="000000"/>
                <w:sz w:val="22"/>
                <w:szCs w:val="22"/>
              </w:rPr>
            </w:pPr>
          </w:p>
        </w:tc>
        <w:tc>
          <w:tcPr>
            <w:tcW w:w="28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A217D" w:rsidRPr="00BB3B4A" w:rsidRDefault="00FA217D" w:rsidP="00332E5D">
            <w:pPr>
              <w:suppressAutoHyphens/>
              <w:spacing w:before="120" w:afterLines="120" w:line="312" w:lineRule="auto"/>
              <w:jc w:val="center"/>
              <w:rPr>
                <w:rFonts w:ascii="Arial" w:eastAsia="Arial" w:hAnsi="Arial" w:cs="Arial"/>
                <w:color w:val="000000"/>
                <w:sz w:val="22"/>
                <w:szCs w:val="22"/>
              </w:rPr>
            </w:pPr>
            <w:r w:rsidRPr="00BB3B4A">
              <w:rPr>
                <w:rFonts w:ascii="Arial" w:eastAsia="Arial" w:hAnsi="Arial" w:cs="Arial"/>
                <w:b/>
                <w:bCs/>
                <w:color w:val="000000" w:themeColor="text1"/>
                <w:sz w:val="22"/>
                <w:szCs w:val="22"/>
              </w:rPr>
              <w:t>ESPECIFICAÇÃO</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A217D" w:rsidRPr="00BB3B4A" w:rsidRDefault="00FA217D" w:rsidP="00332E5D">
            <w:pPr>
              <w:suppressAutoHyphens/>
              <w:spacing w:before="120" w:afterLines="120" w:line="312" w:lineRule="auto"/>
              <w:jc w:val="center"/>
              <w:rPr>
                <w:rFonts w:ascii="Arial" w:eastAsia="Arial" w:hAnsi="Arial" w:cs="Arial"/>
                <w:color w:val="000000"/>
                <w:sz w:val="22"/>
                <w:szCs w:val="22"/>
              </w:rPr>
            </w:pPr>
            <w:r w:rsidRPr="00BB3B4A">
              <w:rPr>
                <w:rFonts w:ascii="Arial" w:eastAsia="Arial" w:hAnsi="Arial" w:cs="Arial"/>
                <w:b/>
                <w:bCs/>
                <w:color w:val="000000" w:themeColor="text1"/>
                <w:sz w:val="22"/>
                <w:szCs w:val="22"/>
              </w:rPr>
              <w:t>UNIDADE DE MEDIDA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A217D" w:rsidRPr="00BB3B4A" w:rsidRDefault="00FA217D" w:rsidP="00332E5D">
            <w:pPr>
              <w:suppressAutoHyphens/>
              <w:spacing w:before="120" w:afterLines="120" w:line="312" w:lineRule="auto"/>
              <w:jc w:val="center"/>
              <w:rPr>
                <w:rFonts w:ascii="Arial" w:eastAsia="Arial" w:hAnsi="Arial" w:cs="Arial"/>
                <w:b/>
                <w:bCs/>
                <w:sz w:val="22"/>
                <w:szCs w:val="22"/>
              </w:rPr>
            </w:pPr>
            <w:r w:rsidRPr="00BB3B4A">
              <w:rPr>
                <w:rFonts w:ascii="Arial" w:eastAsia="Arial" w:hAnsi="Arial" w:cs="Arial"/>
                <w:b/>
                <w:bCs/>
                <w:sz w:val="22"/>
                <w:szCs w:val="22"/>
              </w:rPr>
              <w:t>QUANTIDADE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A217D" w:rsidRPr="00BB3B4A" w:rsidRDefault="00FA217D" w:rsidP="00332E5D">
            <w:pPr>
              <w:suppressAutoHyphens/>
              <w:spacing w:before="120" w:afterLines="120" w:line="312" w:lineRule="auto"/>
              <w:jc w:val="center"/>
              <w:rPr>
                <w:rFonts w:ascii="Arial" w:eastAsia="Arial" w:hAnsi="Arial" w:cs="Arial"/>
                <w:b/>
                <w:bCs/>
                <w:sz w:val="22"/>
                <w:szCs w:val="22"/>
              </w:rPr>
            </w:pPr>
            <w:r w:rsidRPr="00BB3B4A">
              <w:rPr>
                <w:rFonts w:ascii="Arial" w:eastAsia="Arial" w:hAnsi="Arial" w:cs="Arial"/>
                <w:b/>
                <w:bCs/>
                <w:sz w:val="22"/>
                <w:szCs w:val="22"/>
              </w:rPr>
              <w:t>VALOR UNITÁRIO</w:t>
            </w:r>
          </w:p>
        </w:tc>
        <w:tc>
          <w:tcPr>
            <w:tcW w:w="1295" w:type="dxa"/>
            <w:tcBorders>
              <w:top w:val="single" w:sz="4" w:space="0" w:color="000000" w:themeColor="text1"/>
              <w:left w:val="single" w:sz="4" w:space="0" w:color="000000" w:themeColor="text1"/>
              <w:bottom w:val="single" w:sz="4" w:space="0" w:color="000000" w:themeColor="text1"/>
              <w:right w:val="single" w:sz="4" w:space="0" w:color="auto"/>
            </w:tcBorders>
          </w:tcPr>
          <w:p w:rsidR="00FA217D" w:rsidRPr="00BB3B4A" w:rsidRDefault="00FA217D" w:rsidP="00332E5D">
            <w:pPr>
              <w:suppressAutoHyphens/>
              <w:spacing w:before="120" w:afterLines="120" w:line="312" w:lineRule="auto"/>
              <w:jc w:val="center"/>
              <w:rPr>
                <w:rFonts w:ascii="Arial" w:eastAsia="Arial" w:hAnsi="Arial" w:cs="Arial"/>
                <w:b/>
                <w:bCs/>
                <w:sz w:val="22"/>
                <w:szCs w:val="22"/>
              </w:rPr>
            </w:pPr>
            <w:r w:rsidRPr="00BB3B4A">
              <w:rPr>
                <w:rFonts w:ascii="Arial" w:eastAsia="Arial" w:hAnsi="Arial" w:cs="Arial"/>
                <w:b/>
                <w:bCs/>
                <w:sz w:val="22"/>
                <w:szCs w:val="22"/>
              </w:rPr>
              <w:t>VALOR TOTAL</w:t>
            </w:r>
          </w:p>
        </w:tc>
        <w:tc>
          <w:tcPr>
            <w:tcW w:w="1115" w:type="dxa"/>
            <w:tcBorders>
              <w:top w:val="single" w:sz="4" w:space="0" w:color="000000" w:themeColor="text1"/>
              <w:left w:val="single" w:sz="4" w:space="0" w:color="auto"/>
              <w:bottom w:val="single" w:sz="4" w:space="0" w:color="000000" w:themeColor="text1"/>
              <w:right w:val="single" w:sz="4" w:space="0" w:color="000000" w:themeColor="text1"/>
            </w:tcBorders>
          </w:tcPr>
          <w:p w:rsidR="00FA217D" w:rsidRPr="00BB3B4A" w:rsidRDefault="00FA217D" w:rsidP="00332E5D">
            <w:pPr>
              <w:suppressAutoHyphens/>
              <w:spacing w:before="120" w:afterLines="120" w:line="312" w:lineRule="auto"/>
              <w:jc w:val="center"/>
              <w:rPr>
                <w:rFonts w:ascii="Arial" w:eastAsia="Arial" w:hAnsi="Arial" w:cs="Arial"/>
                <w:b/>
                <w:bCs/>
                <w:sz w:val="22"/>
                <w:szCs w:val="22"/>
              </w:rPr>
            </w:pPr>
            <w:commentRangeStart w:id="1"/>
            <w:r w:rsidRPr="00BB3B4A">
              <w:rPr>
                <w:rFonts w:ascii="Arial" w:eastAsia="Arial" w:hAnsi="Arial" w:cs="Arial"/>
                <w:b/>
                <w:bCs/>
                <w:sz w:val="22"/>
                <w:szCs w:val="22"/>
              </w:rPr>
              <w:t>EXCLUSIVO ME/EPP</w:t>
            </w:r>
            <w:commentRangeEnd w:id="1"/>
            <w:r w:rsidRPr="00BB3B4A">
              <w:rPr>
                <w:rStyle w:val="Refdecomentrio"/>
                <w:rFonts w:ascii="Arial" w:hAnsi="Arial" w:cs="Arial"/>
                <w:sz w:val="22"/>
                <w:szCs w:val="22"/>
              </w:rPr>
              <w:commentReference w:id="1"/>
            </w:r>
          </w:p>
        </w:tc>
      </w:tr>
      <w:tr w:rsidR="00332E5D" w:rsidRPr="00BB3B4A" w:rsidTr="00BB3B4A">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2E5D" w:rsidRPr="00BB3B4A" w:rsidRDefault="00332E5D" w:rsidP="00332E5D">
            <w:pPr>
              <w:suppressAutoHyphens/>
              <w:spacing w:before="120" w:afterLines="120" w:line="312" w:lineRule="auto"/>
              <w:jc w:val="center"/>
              <w:rPr>
                <w:rFonts w:ascii="Arial" w:eastAsia="Arial" w:hAnsi="Arial" w:cs="Arial"/>
                <w:b/>
                <w:bCs/>
                <w:color w:val="000000"/>
                <w:sz w:val="22"/>
                <w:szCs w:val="22"/>
              </w:rPr>
            </w:pPr>
            <w:r w:rsidRPr="00BB3B4A">
              <w:rPr>
                <w:rFonts w:ascii="Arial" w:eastAsia="Arial" w:hAnsi="Arial" w:cs="Arial"/>
                <w:b/>
                <w:bCs/>
                <w:color w:val="000000"/>
                <w:sz w:val="22"/>
                <w:szCs w:val="22"/>
              </w:rPr>
              <w:t>1</w:t>
            </w:r>
          </w:p>
        </w:tc>
        <w:tc>
          <w:tcPr>
            <w:tcW w:w="28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32E5D" w:rsidRPr="00DB6386" w:rsidRDefault="00332E5D" w:rsidP="00332E5D">
            <w:pPr>
              <w:widowControl w:val="0"/>
              <w:rPr>
                <w:rFonts w:ascii="Arial" w:hAnsi="Arial" w:cs="Arial"/>
                <w:bCs/>
                <w:color w:val="000000" w:themeColor="text1"/>
              </w:rPr>
            </w:pPr>
            <w:r w:rsidRPr="00157938">
              <w:rPr>
                <w:rFonts w:ascii="Arial" w:hAnsi="Arial" w:cs="Arial"/>
                <w:bCs/>
                <w:color w:val="000000" w:themeColor="text1"/>
              </w:rPr>
              <w:t>BOMBA DE ALTA</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32E5D" w:rsidRPr="00BB3B4A" w:rsidRDefault="00332E5D" w:rsidP="00332E5D">
            <w:pPr>
              <w:jc w:val="center"/>
              <w:rPr>
                <w:rFonts w:ascii="Arial" w:hAnsi="Arial" w:cs="Arial"/>
                <w:bCs/>
                <w:color w:val="000000" w:themeColor="text1"/>
                <w:sz w:val="22"/>
                <w:szCs w:val="22"/>
              </w:rPr>
            </w:pPr>
            <w:r w:rsidRPr="00BB3B4A">
              <w:rPr>
                <w:rFonts w:ascii="Arial" w:hAnsi="Arial" w:cs="Arial"/>
                <w:bCs/>
                <w:color w:val="000000" w:themeColor="text1"/>
                <w:sz w:val="22"/>
                <w:szCs w:val="22"/>
              </w:rPr>
              <w:t>UND</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32E5D" w:rsidRPr="00DB6386" w:rsidRDefault="00332E5D" w:rsidP="00332E5D">
            <w:pPr>
              <w:widowControl w:val="0"/>
              <w:jc w:val="center"/>
              <w:rPr>
                <w:rFonts w:ascii="Arial" w:hAnsi="Arial" w:cs="Arial"/>
                <w:bCs/>
                <w:color w:val="000000" w:themeColor="text1"/>
              </w:rPr>
            </w:pPr>
            <w:r>
              <w:rPr>
                <w:rFonts w:ascii="Arial" w:hAnsi="Arial" w:cs="Arial"/>
                <w:bCs/>
                <w:color w:val="000000" w:themeColor="text1"/>
              </w:rPr>
              <w:t>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32E5D" w:rsidRPr="00BB3B4A" w:rsidRDefault="00332E5D" w:rsidP="00332E5D">
            <w:pPr>
              <w:widowControl w:val="0"/>
              <w:jc w:val="center"/>
              <w:rPr>
                <w:rFonts w:ascii="Arial" w:hAnsi="Arial" w:cs="Arial"/>
                <w:bCs/>
                <w:color w:val="000000" w:themeColor="text1"/>
                <w:sz w:val="22"/>
                <w:szCs w:val="22"/>
              </w:rPr>
            </w:pPr>
            <w:r>
              <w:rPr>
                <w:rFonts w:ascii="Arial" w:hAnsi="Arial" w:cs="Arial"/>
                <w:bCs/>
                <w:color w:val="000000" w:themeColor="text1"/>
                <w:sz w:val="22"/>
                <w:szCs w:val="22"/>
              </w:rPr>
              <w:t>15.199,00</w:t>
            </w:r>
          </w:p>
        </w:tc>
        <w:tc>
          <w:tcPr>
            <w:tcW w:w="1295" w:type="dxa"/>
            <w:tcBorders>
              <w:top w:val="single" w:sz="4" w:space="0" w:color="000000" w:themeColor="text1"/>
              <w:left w:val="single" w:sz="4" w:space="0" w:color="000000" w:themeColor="text1"/>
              <w:bottom w:val="single" w:sz="4" w:space="0" w:color="000000" w:themeColor="text1"/>
              <w:right w:val="single" w:sz="4" w:space="0" w:color="auto"/>
            </w:tcBorders>
          </w:tcPr>
          <w:p w:rsidR="00332E5D" w:rsidRPr="00BB3B4A" w:rsidRDefault="00332E5D" w:rsidP="00332E5D">
            <w:pPr>
              <w:widowControl w:val="0"/>
              <w:jc w:val="both"/>
              <w:rPr>
                <w:rFonts w:ascii="Arial" w:hAnsi="Arial" w:cs="Arial"/>
                <w:bCs/>
                <w:color w:val="000000" w:themeColor="text1"/>
                <w:sz w:val="22"/>
                <w:szCs w:val="22"/>
              </w:rPr>
            </w:pPr>
            <w:r>
              <w:rPr>
                <w:rFonts w:ascii="Arial" w:hAnsi="Arial" w:cs="Arial"/>
                <w:bCs/>
                <w:color w:val="000000" w:themeColor="text1"/>
                <w:sz w:val="22"/>
                <w:szCs w:val="22"/>
              </w:rPr>
              <w:t>15.199,00</w:t>
            </w:r>
          </w:p>
        </w:tc>
        <w:tc>
          <w:tcPr>
            <w:tcW w:w="1115" w:type="dxa"/>
            <w:tcBorders>
              <w:top w:val="single" w:sz="4" w:space="0" w:color="000000" w:themeColor="text1"/>
              <w:left w:val="single" w:sz="4" w:space="0" w:color="auto"/>
              <w:bottom w:val="single" w:sz="4" w:space="0" w:color="000000" w:themeColor="text1"/>
              <w:right w:val="single" w:sz="4" w:space="0" w:color="000000" w:themeColor="text1"/>
            </w:tcBorders>
          </w:tcPr>
          <w:p w:rsidR="00332E5D" w:rsidRPr="00BB3B4A" w:rsidRDefault="00332E5D" w:rsidP="00332E5D">
            <w:pPr>
              <w:suppressAutoHyphens/>
              <w:spacing w:before="120" w:afterLines="120" w:line="312" w:lineRule="auto"/>
              <w:rPr>
                <w:rFonts w:ascii="Arial" w:eastAsia="Arial" w:hAnsi="Arial" w:cs="Arial"/>
                <w:color w:val="000000" w:themeColor="text1"/>
                <w:sz w:val="22"/>
                <w:szCs w:val="22"/>
              </w:rPr>
            </w:pPr>
            <w:r w:rsidRPr="00BB3B4A">
              <w:rPr>
                <w:rFonts w:ascii="Arial" w:eastAsia="Arial" w:hAnsi="Arial" w:cs="Arial"/>
                <w:color w:val="000000" w:themeColor="text1"/>
                <w:sz w:val="22"/>
                <w:szCs w:val="22"/>
              </w:rPr>
              <w:t>SIM</w:t>
            </w:r>
          </w:p>
        </w:tc>
      </w:tr>
      <w:tr w:rsidR="00332E5D" w:rsidRPr="00BB3B4A" w:rsidTr="00BB3B4A">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2E5D" w:rsidRPr="00BB3B4A" w:rsidRDefault="00332E5D" w:rsidP="00332E5D">
            <w:pPr>
              <w:suppressAutoHyphens/>
              <w:spacing w:before="120" w:afterLines="120" w:line="312" w:lineRule="auto"/>
              <w:jc w:val="center"/>
              <w:rPr>
                <w:rFonts w:ascii="Arial" w:eastAsia="Arial" w:hAnsi="Arial" w:cs="Arial"/>
                <w:b/>
                <w:bCs/>
                <w:color w:val="000000"/>
                <w:sz w:val="22"/>
                <w:szCs w:val="22"/>
              </w:rPr>
            </w:pPr>
            <w:r>
              <w:rPr>
                <w:rFonts w:ascii="Arial" w:eastAsia="Arial" w:hAnsi="Arial" w:cs="Arial"/>
                <w:b/>
                <w:bCs/>
                <w:color w:val="000000"/>
                <w:sz w:val="22"/>
                <w:szCs w:val="22"/>
              </w:rPr>
              <w:t>2</w:t>
            </w:r>
          </w:p>
        </w:tc>
        <w:tc>
          <w:tcPr>
            <w:tcW w:w="28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32E5D" w:rsidRPr="00DB6386" w:rsidRDefault="00332E5D" w:rsidP="00332E5D">
            <w:pPr>
              <w:widowControl w:val="0"/>
              <w:rPr>
                <w:rFonts w:ascii="Arial" w:hAnsi="Arial" w:cs="Arial"/>
                <w:bCs/>
                <w:color w:val="000000" w:themeColor="text1"/>
              </w:rPr>
            </w:pPr>
            <w:r w:rsidRPr="00157938">
              <w:rPr>
                <w:rFonts w:ascii="Arial" w:hAnsi="Arial" w:cs="Arial"/>
                <w:bCs/>
                <w:color w:val="000000" w:themeColor="text1"/>
              </w:rPr>
              <w:t>SERVIÇO MAO DE OBRA</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32E5D" w:rsidRPr="00BB3B4A" w:rsidRDefault="00332E5D" w:rsidP="00332E5D">
            <w:pPr>
              <w:jc w:val="center"/>
              <w:rPr>
                <w:rFonts w:ascii="Arial" w:hAnsi="Arial" w:cs="Arial"/>
                <w:bCs/>
                <w:color w:val="000000" w:themeColor="text1"/>
                <w:sz w:val="22"/>
                <w:szCs w:val="22"/>
              </w:rPr>
            </w:pPr>
            <w:r>
              <w:rPr>
                <w:rFonts w:ascii="Arial" w:hAnsi="Arial" w:cs="Arial"/>
                <w:bCs/>
                <w:color w:val="000000" w:themeColor="text1"/>
                <w:sz w:val="22"/>
                <w:szCs w:val="22"/>
              </w:rPr>
              <w:t>UND</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32E5D" w:rsidRPr="00DB6386" w:rsidRDefault="00332E5D" w:rsidP="00332E5D">
            <w:pPr>
              <w:widowControl w:val="0"/>
              <w:jc w:val="center"/>
              <w:rPr>
                <w:rFonts w:ascii="Arial" w:hAnsi="Arial" w:cs="Arial"/>
                <w:bCs/>
                <w:color w:val="000000" w:themeColor="text1"/>
              </w:rPr>
            </w:pPr>
            <w:r>
              <w:rPr>
                <w:rFonts w:ascii="Arial" w:hAnsi="Arial" w:cs="Arial"/>
                <w:bCs/>
                <w:color w:val="000000" w:themeColor="text1"/>
              </w:rPr>
              <w:t>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32E5D" w:rsidRPr="00BB3B4A" w:rsidRDefault="00332E5D" w:rsidP="00332E5D">
            <w:pPr>
              <w:widowControl w:val="0"/>
              <w:jc w:val="center"/>
              <w:rPr>
                <w:rFonts w:ascii="Arial" w:hAnsi="Arial" w:cs="Arial"/>
                <w:bCs/>
                <w:color w:val="000000" w:themeColor="text1"/>
                <w:sz w:val="22"/>
                <w:szCs w:val="22"/>
              </w:rPr>
            </w:pPr>
            <w:r>
              <w:rPr>
                <w:rFonts w:ascii="Arial" w:hAnsi="Arial" w:cs="Arial"/>
                <w:bCs/>
                <w:color w:val="000000" w:themeColor="text1"/>
                <w:sz w:val="22"/>
                <w:szCs w:val="22"/>
              </w:rPr>
              <w:t>3.500,00</w:t>
            </w:r>
          </w:p>
        </w:tc>
        <w:tc>
          <w:tcPr>
            <w:tcW w:w="1295" w:type="dxa"/>
            <w:tcBorders>
              <w:top w:val="single" w:sz="4" w:space="0" w:color="000000" w:themeColor="text1"/>
              <w:left w:val="single" w:sz="4" w:space="0" w:color="000000" w:themeColor="text1"/>
              <w:bottom w:val="single" w:sz="4" w:space="0" w:color="000000" w:themeColor="text1"/>
              <w:right w:val="single" w:sz="4" w:space="0" w:color="auto"/>
            </w:tcBorders>
          </w:tcPr>
          <w:p w:rsidR="00332E5D" w:rsidRPr="00BB3B4A" w:rsidRDefault="00332E5D" w:rsidP="00332E5D">
            <w:pPr>
              <w:widowControl w:val="0"/>
              <w:jc w:val="both"/>
              <w:rPr>
                <w:rFonts w:ascii="Arial" w:hAnsi="Arial" w:cs="Arial"/>
                <w:bCs/>
                <w:color w:val="000000" w:themeColor="text1"/>
                <w:sz w:val="22"/>
                <w:szCs w:val="22"/>
              </w:rPr>
            </w:pPr>
            <w:r>
              <w:rPr>
                <w:rFonts w:ascii="Arial" w:hAnsi="Arial" w:cs="Arial"/>
                <w:bCs/>
                <w:color w:val="000000" w:themeColor="text1"/>
                <w:sz w:val="22"/>
                <w:szCs w:val="22"/>
              </w:rPr>
              <w:t>3.500,00</w:t>
            </w:r>
          </w:p>
        </w:tc>
        <w:tc>
          <w:tcPr>
            <w:tcW w:w="1115" w:type="dxa"/>
            <w:tcBorders>
              <w:top w:val="single" w:sz="4" w:space="0" w:color="000000" w:themeColor="text1"/>
              <w:left w:val="single" w:sz="4" w:space="0" w:color="auto"/>
              <w:bottom w:val="single" w:sz="4" w:space="0" w:color="000000" w:themeColor="text1"/>
              <w:right w:val="single" w:sz="4" w:space="0" w:color="000000" w:themeColor="text1"/>
            </w:tcBorders>
          </w:tcPr>
          <w:p w:rsidR="00332E5D" w:rsidRPr="00BB3B4A" w:rsidRDefault="00332E5D" w:rsidP="00332E5D">
            <w:pPr>
              <w:suppressAutoHyphens/>
              <w:spacing w:before="120" w:afterLines="120" w:line="312" w:lineRule="auto"/>
              <w:rPr>
                <w:rFonts w:ascii="Arial" w:eastAsia="Arial" w:hAnsi="Arial" w:cs="Arial"/>
                <w:color w:val="000000" w:themeColor="text1"/>
                <w:sz w:val="22"/>
                <w:szCs w:val="22"/>
              </w:rPr>
            </w:pPr>
            <w:r>
              <w:rPr>
                <w:rFonts w:ascii="Arial" w:eastAsia="Arial" w:hAnsi="Arial" w:cs="Arial"/>
                <w:color w:val="000000" w:themeColor="text1"/>
                <w:sz w:val="22"/>
                <w:szCs w:val="22"/>
              </w:rPr>
              <w:t>SIM</w:t>
            </w:r>
          </w:p>
        </w:tc>
      </w:tr>
      <w:tr w:rsidR="00332E5D" w:rsidRPr="00BB3B4A" w:rsidTr="00BB3B4A">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32E5D" w:rsidRPr="00BB3B4A" w:rsidRDefault="00332E5D" w:rsidP="00332E5D">
            <w:pPr>
              <w:suppressAutoHyphens/>
              <w:spacing w:before="120" w:afterLines="120" w:line="312" w:lineRule="auto"/>
              <w:jc w:val="center"/>
              <w:rPr>
                <w:rFonts w:ascii="Arial" w:eastAsia="Arial" w:hAnsi="Arial" w:cs="Arial"/>
                <w:b/>
                <w:bCs/>
                <w:color w:val="000000"/>
                <w:sz w:val="22"/>
                <w:szCs w:val="22"/>
              </w:rPr>
            </w:pPr>
            <w:r>
              <w:rPr>
                <w:rFonts w:ascii="Arial" w:eastAsia="Arial" w:hAnsi="Arial" w:cs="Arial"/>
                <w:b/>
                <w:bCs/>
                <w:color w:val="000000"/>
                <w:sz w:val="22"/>
                <w:szCs w:val="22"/>
              </w:rPr>
              <w:t>3</w:t>
            </w:r>
          </w:p>
        </w:tc>
        <w:tc>
          <w:tcPr>
            <w:tcW w:w="28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32E5D" w:rsidRPr="00DB6386" w:rsidRDefault="00332E5D" w:rsidP="00332E5D">
            <w:pPr>
              <w:widowControl w:val="0"/>
              <w:rPr>
                <w:rFonts w:ascii="Arial" w:hAnsi="Arial" w:cs="Arial"/>
                <w:bCs/>
                <w:color w:val="000000" w:themeColor="text1"/>
              </w:rPr>
            </w:pPr>
            <w:r w:rsidRPr="00157938">
              <w:rPr>
                <w:rFonts w:ascii="Arial" w:hAnsi="Arial" w:cs="Arial"/>
                <w:bCs/>
                <w:color w:val="000000" w:themeColor="text1"/>
              </w:rPr>
              <w:t>UNIDADE INJETORA</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32E5D" w:rsidRPr="00BB3B4A" w:rsidRDefault="00332E5D" w:rsidP="00332E5D">
            <w:pPr>
              <w:jc w:val="center"/>
              <w:rPr>
                <w:rFonts w:ascii="Arial" w:hAnsi="Arial" w:cs="Arial"/>
                <w:bCs/>
                <w:color w:val="000000" w:themeColor="text1"/>
                <w:sz w:val="22"/>
                <w:szCs w:val="22"/>
              </w:rPr>
            </w:pPr>
            <w:r>
              <w:rPr>
                <w:rFonts w:ascii="Arial" w:hAnsi="Arial" w:cs="Arial"/>
                <w:bCs/>
                <w:color w:val="000000" w:themeColor="text1"/>
                <w:sz w:val="22"/>
                <w:szCs w:val="22"/>
              </w:rPr>
              <w:t>UND</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32E5D" w:rsidRPr="00DB6386" w:rsidRDefault="00332E5D" w:rsidP="00332E5D">
            <w:pPr>
              <w:widowControl w:val="0"/>
              <w:jc w:val="center"/>
              <w:rPr>
                <w:rFonts w:ascii="Arial" w:hAnsi="Arial" w:cs="Arial"/>
                <w:bCs/>
                <w:color w:val="000000" w:themeColor="text1"/>
              </w:rPr>
            </w:pPr>
            <w:r>
              <w:rPr>
                <w:rFonts w:ascii="Arial" w:hAnsi="Arial" w:cs="Arial"/>
                <w:bCs/>
                <w:color w:val="000000" w:themeColor="text1"/>
              </w:rPr>
              <w:t>6</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32E5D" w:rsidRPr="00BB3B4A" w:rsidRDefault="00332E5D" w:rsidP="00332E5D">
            <w:pPr>
              <w:widowControl w:val="0"/>
              <w:jc w:val="center"/>
              <w:rPr>
                <w:rFonts w:ascii="Arial" w:hAnsi="Arial" w:cs="Arial"/>
                <w:bCs/>
                <w:color w:val="000000" w:themeColor="text1"/>
                <w:sz w:val="22"/>
                <w:szCs w:val="22"/>
              </w:rPr>
            </w:pPr>
            <w:r>
              <w:rPr>
                <w:rFonts w:ascii="Arial" w:hAnsi="Arial" w:cs="Arial"/>
                <w:bCs/>
                <w:color w:val="000000" w:themeColor="text1"/>
                <w:sz w:val="22"/>
                <w:szCs w:val="22"/>
              </w:rPr>
              <w:t>3.367,00</w:t>
            </w:r>
          </w:p>
        </w:tc>
        <w:tc>
          <w:tcPr>
            <w:tcW w:w="1295" w:type="dxa"/>
            <w:tcBorders>
              <w:top w:val="single" w:sz="4" w:space="0" w:color="000000" w:themeColor="text1"/>
              <w:left w:val="single" w:sz="4" w:space="0" w:color="000000" w:themeColor="text1"/>
              <w:bottom w:val="single" w:sz="4" w:space="0" w:color="000000" w:themeColor="text1"/>
              <w:right w:val="single" w:sz="4" w:space="0" w:color="auto"/>
            </w:tcBorders>
          </w:tcPr>
          <w:p w:rsidR="00332E5D" w:rsidRPr="00BB3B4A" w:rsidRDefault="00332E5D" w:rsidP="00332E5D">
            <w:pPr>
              <w:widowControl w:val="0"/>
              <w:jc w:val="both"/>
              <w:rPr>
                <w:rFonts w:ascii="Arial" w:hAnsi="Arial" w:cs="Arial"/>
                <w:bCs/>
                <w:color w:val="000000" w:themeColor="text1"/>
                <w:sz w:val="22"/>
                <w:szCs w:val="22"/>
              </w:rPr>
            </w:pPr>
            <w:r>
              <w:rPr>
                <w:rFonts w:ascii="Arial" w:hAnsi="Arial" w:cs="Arial"/>
                <w:bCs/>
                <w:color w:val="000000" w:themeColor="text1"/>
                <w:sz w:val="22"/>
                <w:szCs w:val="22"/>
              </w:rPr>
              <w:t>20.202,00</w:t>
            </w:r>
          </w:p>
        </w:tc>
        <w:tc>
          <w:tcPr>
            <w:tcW w:w="1115" w:type="dxa"/>
            <w:tcBorders>
              <w:top w:val="single" w:sz="4" w:space="0" w:color="000000" w:themeColor="text1"/>
              <w:left w:val="single" w:sz="4" w:space="0" w:color="auto"/>
              <w:bottom w:val="single" w:sz="4" w:space="0" w:color="000000" w:themeColor="text1"/>
              <w:right w:val="single" w:sz="4" w:space="0" w:color="000000" w:themeColor="text1"/>
            </w:tcBorders>
          </w:tcPr>
          <w:p w:rsidR="00332E5D" w:rsidRPr="00BB3B4A" w:rsidRDefault="00332E5D" w:rsidP="00332E5D">
            <w:pPr>
              <w:suppressAutoHyphens/>
              <w:spacing w:before="120" w:afterLines="120" w:line="312" w:lineRule="auto"/>
              <w:rPr>
                <w:rFonts w:ascii="Arial" w:eastAsia="Arial" w:hAnsi="Arial" w:cs="Arial"/>
                <w:color w:val="000000" w:themeColor="text1"/>
                <w:sz w:val="22"/>
                <w:szCs w:val="22"/>
              </w:rPr>
            </w:pPr>
            <w:r>
              <w:rPr>
                <w:rFonts w:ascii="Arial" w:eastAsia="Arial" w:hAnsi="Arial" w:cs="Arial"/>
                <w:color w:val="000000" w:themeColor="text1"/>
                <w:sz w:val="22"/>
                <w:szCs w:val="22"/>
              </w:rPr>
              <w:t>SIM</w:t>
            </w:r>
          </w:p>
        </w:tc>
      </w:tr>
    </w:tbl>
    <w:p w:rsidR="00FA217D" w:rsidRPr="00BB3B4A" w:rsidRDefault="00FA217D" w:rsidP="00332E5D">
      <w:pPr>
        <w:pStyle w:val="Nivel2"/>
        <w:numPr>
          <w:ilvl w:val="0"/>
          <w:numId w:val="0"/>
        </w:numPr>
        <w:spacing w:afterLines="120" w:line="312" w:lineRule="auto"/>
        <w:rPr>
          <w:sz w:val="22"/>
          <w:szCs w:val="22"/>
        </w:rPr>
      </w:pPr>
    </w:p>
    <w:p w:rsidR="00FA217D" w:rsidRPr="00BB3B4A" w:rsidRDefault="00FA217D" w:rsidP="00332E5D">
      <w:pPr>
        <w:pStyle w:val="Nivel2"/>
        <w:spacing w:afterLines="120" w:line="312" w:lineRule="auto"/>
        <w:ind w:firstLine="709"/>
        <w:rPr>
          <w:sz w:val="22"/>
          <w:szCs w:val="22"/>
        </w:rPr>
      </w:pPr>
      <w:r w:rsidRPr="00BB3B4A">
        <w:rPr>
          <w:sz w:val="22"/>
          <w:szCs w:val="22"/>
        </w:rPr>
        <w:t>O objeto desta contratação não se enquadra como sendo de bem de luxo, conforme Decreto Federal nº 10.818, de 27 de setembro de 2021 e Decreto Municipal 204, de 28 de dezembro de 2022.</w:t>
      </w:r>
    </w:p>
    <w:p w:rsidR="00FA217D" w:rsidRPr="00BB3B4A" w:rsidRDefault="00FA217D" w:rsidP="00332E5D">
      <w:pPr>
        <w:pStyle w:val="Nivel2"/>
        <w:spacing w:afterLines="120" w:line="312" w:lineRule="auto"/>
        <w:ind w:firstLine="709"/>
        <w:rPr>
          <w:sz w:val="22"/>
          <w:szCs w:val="22"/>
        </w:rPr>
      </w:pPr>
      <w:commentRangeStart w:id="2"/>
      <w:r w:rsidRPr="00BB3B4A">
        <w:rPr>
          <w:sz w:val="22"/>
          <w:szCs w:val="22"/>
        </w:rPr>
        <w:t>Os bens objeto desta contratação são caracterizados como comuns, conforme justificativa constante do Estudo Técnico Preliminar.</w:t>
      </w:r>
      <w:commentRangeEnd w:id="2"/>
      <w:r w:rsidRPr="00BB3B4A">
        <w:rPr>
          <w:rStyle w:val="Refdecomentrio"/>
          <w:color w:val="auto"/>
          <w:sz w:val="22"/>
          <w:szCs w:val="22"/>
        </w:rPr>
        <w:commentReference w:id="2"/>
      </w:r>
    </w:p>
    <w:p w:rsidR="00FA217D" w:rsidRPr="00BB3B4A" w:rsidRDefault="00FA217D" w:rsidP="00332E5D">
      <w:pPr>
        <w:pStyle w:val="Nivel2"/>
        <w:spacing w:afterLines="120" w:line="312" w:lineRule="auto"/>
        <w:ind w:firstLine="709"/>
        <w:rPr>
          <w:sz w:val="22"/>
          <w:szCs w:val="22"/>
        </w:rPr>
      </w:pPr>
      <w:r w:rsidRPr="00BB3B4A">
        <w:rPr>
          <w:sz w:val="22"/>
          <w:szCs w:val="22"/>
        </w:rPr>
        <w:t>O contrato oferece maior detalhamento das regras que serão aplicadas em relação à vigência da contratação.</w:t>
      </w:r>
    </w:p>
    <w:p w:rsidR="00FA217D" w:rsidRPr="00BB3B4A" w:rsidRDefault="00FA217D" w:rsidP="00332E5D">
      <w:pPr>
        <w:pStyle w:val="Nivel01"/>
        <w:spacing w:before="120" w:afterLines="120" w:line="312" w:lineRule="auto"/>
        <w:ind w:left="0" w:firstLine="0"/>
        <w:rPr>
          <w:sz w:val="22"/>
          <w:szCs w:val="22"/>
        </w:rPr>
      </w:pPr>
      <w:r w:rsidRPr="00BB3B4A">
        <w:rPr>
          <w:sz w:val="22"/>
          <w:szCs w:val="22"/>
        </w:rPr>
        <w:t>FUNDAMENTAÇÃO E DESCRIÇÃO DA NECESSIDADE DA CONTRATAÇÃO</w:t>
      </w:r>
    </w:p>
    <w:p w:rsidR="00FA217D" w:rsidRPr="00BB3B4A" w:rsidRDefault="00FA217D" w:rsidP="00332E5D">
      <w:pPr>
        <w:pStyle w:val="Nivel2"/>
        <w:spacing w:afterLines="120" w:line="312" w:lineRule="auto"/>
        <w:ind w:firstLine="709"/>
        <w:rPr>
          <w:sz w:val="22"/>
          <w:szCs w:val="22"/>
        </w:rPr>
      </w:pPr>
      <w:commentRangeStart w:id="3"/>
      <w:r w:rsidRPr="00BB3B4A">
        <w:rPr>
          <w:sz w:val="22"/>
          <w:szCs w:val="22"/>
        </w:rPr>
        <w:t>A Fundamentação da Contratação e de seus quantitativos encontra-se pormenorizada em Tópico específico dos Estudos Técnicos Preliminares, apêndice deste Termo de Referência.</w:t>
      </w:r>
      <w:commentRangeEnd w:id="3"/>
      <w:r w:rsidRPr="00BB3B4A">
        <w:rPr>
          <w:rStyle w:val="Refdecomentrio"/>
          <w:color w:val="auto"/>
          <w:sz w:val="22"/>
          <w:szCs w:val="22"/>
        </w:rPr>
        <w:commentReference w:id="3"/>
      </w:r>
    </w:p>
    <w:p w:rsidR="00FA217D" w:rsidRPr="00BB3B4A" w:rsidRDefault="00FA217D" w:rsidP="00332E5D">
      <w:pPr>
        <w:pStyle w:val="Nivel2"/>
        <w:spacing w:afterLines="120" w:line="312" w:lineRule="auto"/>
        <w:ind w:firstLine="709"/>
        <w:rPr>
          <w:sz w:val="22"/>
          <w:szCs w:val="22"/>
        </w:rPr>
      </w:pPr>
      <w:r w:rsidRPr="00BB3B4A">
        <w:rPr>
          <w:sz w:val="22"/>
          <w:szCs w:val="22"/>
        </w:rPr>
        <w:t xml:space="preserve">O objeto da contratação está previsto no Plano de Contratações Anual </w:t>
      </w:r>
      <w:r w:rsidRPr="00BB3B4A">
        <w:rPr>
          <w:color w:val="000000" w:themeColor="text1"/>
          <w:sz w:val="22"/>
          <w:szCs w:val="22"/>
        </w:rPr>
        <w:t>2025</w:t>
      </w:r>
      <w:r w:rsidRPr="00BB3B4A">
        <w:rPr>
          <w:color w:val="FF0000"/>
          <w:sz w:val="22"/>
          <w:szCs w:val="22"/>
        </w:rPr>
        <w:t>.</w:t>
      </w:r>
    </w:p>
    <w:p w:rsidR="00BB3B4A" w:rsidRDefault="00BB3B4A" w:rsidP="00332E5D">
      <w:pPr>
        <w:pStyle w:val="Nivel01"/>
        <w:numPr>
          <w:ilvl w:val="0"/>
          <w:numId w:val="0"/>
        </w:numPr>
        <w:spacing w:before="120" w:afterLines="120" w:line="312" w:lineRule="auto"/>
        <w:rPr>
          <w:sz w:val="22"/>
          <w:szCs w:val="22"/>
        </w:rPr>
      </w:pPr>
    </w:p>
    <w:p w:rsidR="00FA217D" w:rsidRPr="00BB3B4A" w:rsidRDefault="00FA217D" w:rsidP="00332E5D">
      <w:pPr>
        <w:pStyle w:val="Nivel01"/>
        <w:spacing w:before="120" w:afterLines="120" w:line="312" w:lineRule="auto"/>
        <w:ind w:left="0" w:firstLine="0"/>
        <w:rPr>
          <w:sz w:val="22"/>
          <w:szCs w:val="22"/>
        </w:rPr>
      </w:pPr>
      <w:r w:rsidRPr="00BB3B4A">
        <w:rPr>
          <w:sz w:val="22"/>
          <w:szCs w:val="22"/>
        </w:rPr>
        <w:t>DESCRIÇÃO DA SOLUÇÃO COMO UM TODO CONSIDERADO O CICLO DE VIDA DO OBJETO E ESPECIFICAÇÃO DO PRODUTO</w:t>
      </w:r>
    </w:p>
    <w:p w:rsidR="00FA217D" w:rsidRPr="00BB3B4A" w:rsidRDefault="00FA217D" w:rsidP="00332E5D">
      <w:pPr>
        <w:pStyle w:val="Nvel2-Red"/>
        <w:spacing w:afterLines="120" w:line="312" w:lineRule="auto"/>
        <w:ind w:firstLine="709"/>
        <w:rPr>
          <w:i w:val="0"/>
          <w:color w:val="000000" w:themeColor="text1"/>
          <w:sz w:val="22"/>
          <w:szCs w:val="22"/>
        </w:rPr>
      </w:pPr>
      <w:commentRangeStart w:id="4"/>
      <w:r w:rsidRPr="00BB3B4A">
        <w:rPr>
          <w:i w:val="0"/>
          <w:color w:val="000000" w:themeColor="text1"/>
          <w:sz w:val="22"/>
          <w:szCs w:val="22"/>
        </w:rPr>
        <w:t>A descrição da solução como um todo encontra-se pormenorizada em tópico específico dos Estudos Técnicos Preliminares, apêndice deste Termo de Referência.</w:t>
      </w:r>
      <w:commentRangeEnd w:id="4"/>
      <w:r w:rsidRPr="00BB3B4A">
        <w:rPr>
          <w:rStyle w:val="Refdecomentrio"/>
          <w:color w:val="000000" w:themeColor="text1"/>
          <w:sz w:val="22"/>
          <w:szCs w:val="22"/>
        </w:rPr>
        <w:commentReference w:id="4"/>
      </w:r>
    </w:p>
    <w:p w:rsidR="00CB4ECB" w:rsidRPr="00BB3B4A" w:rsidRDefault="00CB4ECB" w:rsidP="00332E5D">
      <w:pPr>
        <w:pStyle w:val="Nivel01"/>
        <w:numPr>
          <w:ilvl w:val="0"/>
          <w:numId w:val="0"/>
        </w:numPr>
        <w:spacing w:before="120" w:afterLines="120" w:line="312" w:lineRule="auto"/>
        <w:ind w:left="360"/>
        <w:rPr>
          <w:sz w:val="22"/>
          <w:szCs w:val="22"/>
        </w:rPr>
      </w:pPr>
    </w:p>
    <w:p w:rsidR="00FA217D" w:rsidRPr="00BB3B4A" w:rsidRDefault="00FA217D" w:rsidP="00332E5D">
      <w:pPr>
        <w:pStyle w:val="Nivel01"/>
        <w:spacing w:before="120" w:afterLines="120" w:line="312" w:lineRule="auto"/>
        <w:rPr>
          <w:sz w:val="22"/>
          <w:szCs w:val="22"/>
        </w:rPr>
      </w:pPr>
      <w:commentRangeStart w:id="5"/>
      <w:r w:rsidRPr="00BB3B4A">
        <w:rPr>
          <w:sz w:val="22"/>
          <w:szCs w:val="22"/>
        </w:rPr>
        <w:t>REQUISITOS DA CONTRATAÇÃO</w:t>
      </w:r>
      <w:commentRangeEnd w:id="5"/>
      <w:r w:rsidRPr="00BB3B4A">
        <w:rPr>
          <w:rStyle w:val="Refdecomentrio"/>
          <w:rFonts w:eastAsiaTheme="minorEastAsia"/>
          <w:b w:val="0"/>
          <w:bCs w:val="0"/>
          <w:sz w:val="22"/>
          <w:szCs w:val="22"/>
        </w:rPr>
        <w:commentReference w:id="5"/>
      </w:r>
    </w:p>
    <w:p w:rsidR="00FA217D" w:rsidRPr="00BB3B4A" w:rsidRDefault="00FA217D" w:rsidP="00332E5D">
      <w:pPr>
        <w:pStyle w:val="Nvel1-SemNum"/>
        <w:spacing w:before="120" w:afterLines="120" w:line="312" w:lineRule="auto"/>
        <w:ind w:left="0"/>
        <w:rPr>
          <w:color w:val="000000" w:themeColor="text1"/>
          <w:sz w:val="22"/>
          <w:szCs w:val="22"/>
        </w:rPr>
      </w:pPr>
      <w:r w:rsidRPr="00BB3B4A">
        <w:rPr>
          <w:color w:val="000000" w:themeColor="text1"/>
          <w:sz w:val="22"/>
          <w:szCs w:val="22"/>
        </w:rPr>
        <w:t>Subcontratação</w:t>
      </w:r>
    </w:p>
    <w:p w:rsidR="00FA217D" w:rsidRPr="00BB3B4A" w:rsidRDefault="00FA217D" w:rsidP="00332E5D">
      <w:pPr>
        <w:pStyle w:val="Nivel2"/>
        <w:spacing w:afterLines="120" w:line="312" w:lineRule="auto"/>
        <w:ind w:firstLine="709"/>
        <w:rPr>
          <w:iCs/>
          <w:color w:val="auto"/>
          <w:sz w:val="22"/>
          <w:szCs w:val="22"/>
        </w:rPr>
      </w:pPr>
      <w:commentRangeStart w:id="6"/>
      <w:r w:rsidRPr="00BB3B4A">
        <w:rPr>
          <w:iCs/>
          <w:color w:val="auto"/>
          <w:sz w:val="22"/>
          <w:szCs w:val="22"/>
        </w:rPr>
        <w:t>Não é admitida a subcontratação do objeto contratual.</w:t>
      </w:r>
      <w:commentRangeEnd w:id="6"/>
      <w:r w:rsidRPr="00BB3B4A">
        <w:rPr>
          <w:rStyle w:val="Refdecomentrio"/>
          <w:color w:val="auto"/>
          <w:sz w:val="22"/>
          <w:szCs w:val="22"/>
        </w:rPr>
        <w:commentReference w:id="6"/>
      </w:r>
    </w:p>
    <w:p w:rsidR="00FA217D" w:rsidRPr="00BB3B4A" w:rsidRDefault="00FA217D" w:rsidP="00332E5D">
      <w:pPr>
        <w:pStyle w:val="Nvel1-SemNum"/>
        <w:spacing w:before="120" w:afterLines="120" w:line="312" w:lineRule="auto"/>
        <w:rPr>
          <w:color w:val="auto"/>
          <w:sz w:val="22"/>
          <w:szCs w:val="22"/>
        </w:rPr>
      </w:pPr>
      <w:commentRangeStart w:id="7"/>
      <w:r w:rsidRPr="00BB3B4A">
        <w:rPr>
          <w:color w:val="auto"/>
          <w:sz w:val="22"/>
          <w:szCs w:val="22"/>
        </w:rPr>
        <w:t>Garantia da contratação</w:t>
      </w:r>
      <w:commentRangeEnd w:id="7"/>
      <w:r w:rsidRPr="00BB3B4A">
        <w:rPr>
          <w:rStyle w:val="Refdecomentrio"/>
          <w:rFonts w:eastAsiaTheme="minorEastAsia"/>
          <w:b w:val="0"/>
          <w:bCs w:val="0"/>
          <w:color w:val="auto"/>
          <w:sz w:val="22"/>
          <w:szCs w:val="22"/>
        </w:rPr>
        <w:commentReference w:id="7"/>
      </w:r>
    </w:p>
    <w:p w:rsidR="00FA217D" w:rsidRPr="00BB3B4A" w:rsidRDefault="00FA217D" w:rsidP="00332E5D">
      <w:pPr>
        <w:pStyle w:val="Nivel01"/>
        <w:spacing w:before="120" w:afterLines="120" w:line="312" w:lineRule="auto"/>
        <w:rPr>
          <w:sz w:val="22"/>
          <w:szCs w:val="22"/>
        </w:rPr>
      </w:pPr>
      <w:commentRangeStart w:id="8"/>
      <w:r w:rsidRPr="00BB3B4A">
        <w:rPr>
          <w:sz w:val="22"/>
          <w:szCs w:val="22"/>
        </w:rPr>
        <w:t>MODELO DE EXECUÇÃO DO OBJETO</w:t>
      </w:r>
      <w:commentRangeEnd w:id="8"/>
      <w:r w:rsidRPr="00BB3B4A">
        <w:rPr>
          <w:rStyle w:val="Refdecomentrio"/>
          <w:rFonts w:eastAsiaTheme="minorEastAsia"/>
          <w:b w:val="0"/>
          <w:bCs w:val="0"/>
          <w:sz w:val="22"/>
          <w:szCs w:val="22"/>
        </w:rPr>
        <w:commentReference w:id="8"/>
      </w:r>
    </w:p>
    <w:p w:rsidR="00FA217D" w:rsidRPr="00BB3B4A" w:rsidRDefault="00FA217D" w:rsidP="00332E5D">
      <w:pPr>
        <w:pStyle w:val="Nvel1-SemNum"/>
        <w:spacing w:before="120" w:afterLines="120" w:line="312" w:lineRule="auto"/>
        <w:rPr>
          <w:color w:val="000000" w:themeColor="text1"/>
          <w:sz w:val="22"/>
          <w:szCs w:val="22"/>
        </w:rPr>
      </w:pPr>
      <w:r w:rsidRPr="00BB3B4A">
        <w:rPr>
          <w:color w:val="000000" w:themeColor="text1"/>
          <w:sz w:val="22"/>
          <w:szCs w:val="22"/>
        </w:rPr>
        <w:t>Condições de Entrega</w:t>
      </w:r>
    </w:p>
    <w:p w:rsidR="00FA217D" w:rsidRPr="00BB3B4A" w:rsidRDefault="00FA217D" w:rsidP="00332E5D">
      <w:pPr>
        <w:pStyle w:val="Nvel2-Red"/>
        <w:spacing w:afterLines="120" w:line="312" w:lineRule="auto"/>
        <w:ind w:firstLine="709"/>
        <w:rPr>
          <w:i w:val="0"/>
          <w:color w:val="000000" w:themeColor="text1"/>
          <w:sz w:val="22"/>
          <w:szCs w:val="22"/>
        </w:rPr>
      </w:pPr>
      <w:r w:rsidRPr="00BB3B4A">
        <w:rPr>
          <w:i w:val="0"/>
          <w:color w:val="000000" w:themeColor="text1"/>
          <w:sz w:val="22"/>
          <w:szCs w:val="22"/>
        </w:rPr>
        <w:t xml:space="preserve">O </w:t>
      </w:r>
      <w:r w:rsidR="00332E5D">
        <w:rPr>
          <w:i w:val="0"/>
          <w:color w:val="000000" w:themeColor="text1"/>
          <w:sz w:val="22"/>
          <w:szCs w:val="22"/>
        </w:rPr>
        <w:t>prazo de entrega dos bens é de 1</w:t>
      </w:r>
      <w:r w:rsidRPr="00BB3B4A">
        <w:rPr>
          <w:i w:val="0"/>
          <w:color w:val="000000" w:themeColor="text1"/>
          <w:sz w:val="22"/>
          <w:szCs w:val="22"/>
        </w:rPr>
        <w:t xml:space="preserve">0 dias corridos, contados do(a) do envio do empenho  em remessa única. </w:t>
      </w:r>
    </w:p>
    <w:p w:rsidR="00FA217D" w:rsidRPr="00BB3B4A" w:rsidRDefault="00FA217D" w:rsidP="00332E5D">
      <w:pPr>
        <w:pStyle w:val="Nvel2-Red"/>
        <w:spacing w:afterLines="120" w:line="312" w:lineRule="auto"/>
        <w:ind w:firstLine="709"/>
        <w:rPr>
          <w:i w:val="0"/>
          <w:color w:val="000000" w:themeColor="text1"/>
          <w:sz w:val="22"/>
          <w:szCs w:val="22"/>
        </w:rPr>
      </w:pPr>
      <w:r w:rsidRPr="00BB3B4A">
        <w:rPr>
          <w:i w:val="0"/>
          <w:color w:val="000000" w:themeColor="text1"/>
          <w:sz w:val="22"/>
          <w:szCs w:val="22"/>
        </w:rPr>
        <w:t>Caso não seja possível a entrega na data assinalada, a empresa deverá comunicar as razões respectivas com pelo menos (3) dias de antecedência para que qualquer pleito de prorrogação de prazo seja analisado, ressalvadas situações de caso fortuito e força maior.</w:t>
      </w:r>
    </w:p>
    <w:p w:rsidR="00332E5D" w:rsidRPr="00DB6386" w:rsidRDefault="00332E5D" w:rsidP="00332E5D">
      <w:pPr>
        <w:pStyle w:val="PargrafodaLista"/>
        <w:widowControl w:val="0"/>
        <w:numPr>
          <w:ilvl w:val="1"/>
          <w:numId w:val="1"/>
        </w:numPr>
        <w:autoSpaceDE w:val="0"/>
        <w:autoSpaceDN w:val="0"/>
        <w:spacing w:before="54" w:after="0" w:line="360" w:lineRule="auto"/>
        <w:ind w:left="792"/>
        <w:contextualSpacing w:val="0"/>
        <w:jc w:val="both"/>
        <w:rPr>
          <w:rFonts w:ascii="Arial" w:hAnsi="Arial" w:cs="Arial"/>
          <w:bCs/>
          <w:color w:val="000000" w:themeColor="text1"/>
          <w:sz w:val="22"/>
          <w:szCs w:val="22"/>
        </w:rPr>
      </w:pPr>
      <w:r>
        <w:rPr>
          <w:rFonts w:ascii="Arial" w:hAnsi="Arial" w:cs="Arial"/>
          <w:sz w:val="22"/>
          <w:szCs w:val="22"/>
        </w:rPr>
        <w:t xml:space="preserve">Os serviços </w:t>
      </w:r>
      <w:r w:rsidR="00FA217D" w:rsidRPr="00332E5D">
        <w:rPr>
          <w:rFonts w:ascii="Arial" w:hAnsi="Arial" w:cs="Arial"/>
          <w:sz w:val="22"/>
          <w:szCs w:val="22"/>
        </w:rPr>
        <w:t>deverão ser entregues no seguinte endereço</w:t>
      </w:r>
      <w:r w:rsidR="00FA217D" w:rsidRPr="00332E5D">
        <w:rPr>
          <w:sz w:val="22"/>
          <w:szCs w:val="22"/>
        </w:rPr>
        <w:t xml:space="preserve">: </w:t>
      </w:r>
      <w:r>
        <w:rPr>
          <w:rFonts w:ascii="Arial" w:hAnsi="Arial" w:cs="Arial"/>
          <w:bCs/>
          <w:color w:val="000000" w:themeColor="text1"/>
          <w:sz w:val="22"/>
          <w:szCs w:val="22"/>
        </w:rPr>
        <w:t xml:space="preserve">Rua: Rafael Gonçalves 425, </w:t>
      </w:r>
      <w:r w:rsidRPr="00DB6386">
        <w:rPr>
          <w:rFonts w:ascii="Arial" w:hAnsi="Arial" w:cs="Arial"/>
          <w:bCs/>
          <w:color w:val="000000" w:themeColor="text1"/>
          <w:sz w:val="22"/>
          <w:szCs w:val="22"/>
        </w:rPr>
        <w:t>centro, CEP 97590000</w:t>
      </w:r>
    </w:p>
    <w:p w:rsidR="00FA217D" w:rsidRPr="00332E5D" w:rsidRDefault="00FA217D" w:rsidP="00332E5D">
      <w:pPr>
        <w:pStyle w:val="Nivel2"/>
        <w:spacing w:afterLines="120" w:line="312" w:lineRule="auto"/>
        <w:ind w:firstLine="709"/>
        <w:rPr>
          <w:color w:val="auto"/>
          <w:sz w:val="22"/>
          <w:szCs w:val="22"/>
        </w:rPr>
      </w:pPr>
      <w:commentRangeStart w:id="9"/>
      <w:r w:rsidRPr="00332E5D">
        <w:rPr>
          <w:color w:val="auto"/>
          <w:sz w:val="22"/>
          <w:szCs w:val="22"/>
        </w:rPr>
        <w:t xml:space="preserve">Garantia, manutenção e assistência técnica </w:t>
      </w:r>
      <w:commentRangeEnd w:id="9"/>
      <w:r w:rsidRPr="00BB3B4A">
        <w:rPr>
          <w:rStyle w:val="Refdecomentrio"/>
          <w:b/>
          <w:bCs/>
          <w:color w:val="auto"/>
          <w:sz w:val="22"/>
          <w:szCs w:val="22"/>
        </w:rPr>
        <w:commentReference w:id="9"/>
      </w:r>
    </w:p>
    <w:p w:rsidR="00FA217D" w:rsidRPr="00BB3B4A" w:rsidRDefault="00FA217D" w:rsidP="00332E5D">
      <w:pPr>
        <w:pStyle w:val="Nivel2"/>
        <w:spacing w:afterLines="120" w:line="312" w:lineRule="auto"/>
        <w:rPr>
          <w:sz w:val="22"/>
          <w:szCs w:val="22"/>
        </w:rPr>
      </w:pPr>
      <w:commentRangeStart w:id="10"/>
      <w:r w:rsidRPr="00BB3B4A">
        <w:rPr>
          <w:sz w:val="22"/>
          <w:szCs w:val="22"/>
        </w:rPr>
        <w:t>O prazo de garantia é aquele estabelecido na Lei nº 8.078, de 11 de setembro de 1990 (Código de Defesa do Consumidor)</w:t>
      </w:r>
      <w:commentRangeEnd w:id="10"/>
      <w:r w:rsidRPr="00BB3B4A">
        <w:rPr>
          <w:rStyle w:val="Refdecomentrio"/>
          <w:color w:val="auto"/>
          <w:sz w:val="22"/>
          <w:szCs w:val="22"/>
        </w:rPr>
        <w:commentReference w:id="10"/>
      </w:r>
    </w:p>
    <w:p w:rsidR="00FA217D" w:rsidRPr="00BB3B4A" w:rsidRDefault="00FA217D" w:rsidP="00332E5D">
      <w:pPr>
        <w:pStyle w:val="Nivel01"/>
        <w:spacing w:before="120" w:afterLines="120" w:line="312" w:lineRule="auto"/>
        <w:rPr>
          <w:sz w:val="22"/>
          <w:szCs w:val="22"/>
        </w:rPr>
      </w:pPr>
      <w:r w:rsidRPr="00BB3B4A">
        <w:rPr>
          <w:sz w:val="22"/>
          <w:szCs w:val="22"/>
        </w:rPr>
        <w:t>MODELO DE GESTÃO DO CONTRATO</w:t>
      </w:r>
    </w:p>
    <w:p w:rsidR="00FA217D" w:rsidRPr="00BB3B4A" w:rsidRDefault="00FA217D" w:rsidP="00332E5D">
      <w:pPr>
        <w:pStyle w:val="Nivel2"/>
        <w:spacing w:afterLines="120" w:line="312" w:lineRule="auto"/>
        <w:ind w:firstLine="709"/>
        <w:rPr>
          <w:sz w:val="22"/>
          <w:szCs w:val="22"/>
        </w:rPr>
      </w:pPr>
      <w:r w:rsidRPr="00BB3B4A">
        <w:rPr>
          <w:rFonts w:eastAsia="Arial"/>
          <w:color w:val="auto"/>
          <w:sz w:val="22"/>
          <w:szCs w:val="22"/>
        </w:rPr>
        <w:t>O contrato deverá ser executado fielmente pelas partes, de acordo com as cláusulas avençadas e as normas da Lei nº 14.133, de 2021, e cada parte responderá pelas consequências de sua inexecução total ou parcial.</w:t>
      </w:r>
    </w:p>
    <w:p w:rsidR="00FA217D" w:rsidRPr="00BB3B4A" w:rsidRDefault="00FA217D" w:rsidP="00332E5D">
      <w:pPr>
        <w:pStyle w:val="Nivel2"/>
        <w:spacing w:afterLines="120" w:line="312" w:lineRule="auto"/>
        <w:ind w:firstLine="709"/>
        <w:rPr>
          <w:sz w:val="22"/>
          <w:szCs w:val="22"/>
        </w:rPr>
      </w:pPr>
      <w:r w:rsidRPr="00BB3B4A">
        <w:rPr>
          <w:sz w:val="22"/>
          <w:szCs w:val="22"/>
        </w:rPr>
        <w:lastRenderedPageBreak/>
        <w:t>Em caso de impedimento, ordem de paralisação ou suspensão do contrato, o cronograma de execução será prorrogado automaticamente pelo tempo correspondente, anotadas tais circunstâncias mediante simples apostila.</w:t>
      </w:r>
    </w:p>
    <w:p w:rsidR="00FA217D" w:rsidRPr="00BB3B4A" w:rsidRDefault="00FA217D" w:rsidP="00332E5D">
      <w:pPr>
        <w:pStyle w:val="Nivel2"/>
        <w:spacing w:afterLines="120" w:line="312" w:lineRule="auto"/>
        <w:ind w:firstLine="709"/>
        <w:rPr>
          <w:sz w:val="22"/>
          <w:szCs w:val="22"/>
        </w:rPr>
      </w:pPr>
      <w:r w:rsidRPr="00BB3B4A">
        <w:rPr>
          <w:sz w:val="22"/>
          <w:szCs w:val="22"/>
        </w:rPr>
        <w:t>As comunicações entre o órgão ou entidade e a contratada devem ser realizadas por escrito sempre que o ato exigir tal formalidade, admitindo-se o uso de mensagem eletrônica para esse fim.</w:t>
      </w:r>
    </w:p>
    <w:p w:rsidR="00FA217D" w:rsidRPr="00BB3B4A" w:rsidRDefault="00FA217D" w:rsidP="00332E5D">
      <w:pPr>
        <w:pStyle w:val="Nivel2"/>
        <w:spacing w:afterLines="120" w:line="312" w:lineRule="auto"/>
        <w:ind w:firstLine="709"/>
        <w:rPr>
          <w:sz w:val="22"/>
          <w:szCs w:val="22"/>
        </w:rPr>
      </w:pPr>
      <w:r w:rsidRPr="00BB3B4A">
        <w:rPr>
          <w:sz w:val="22"/>
          <w:szCs w:val="22"/>
        </w:rPr>
        <w:t>O órgão ou entidade poderá convocar representante da empresa para adoção de providências que devam ser cumpridas de imediato.</w:t>
      </w:r>
    </w:p>
    <w:p w:rsidR="00FA217D" w:rsidRPr="00BB3B4A" w:rsidRDefault="00FA217D" w:rsidP="00332E5D">
      <w:pPr>
        <w:pStyle w:val="Nvel2-Red"/>
        <w:spacing w:afterLines="120" w:line="312" w:lineRule="auto"/>
        <w:ind w:firstLine="709"/>
        <w:rPr>
          <w:i w:val="0"/>
          <w:color w:val="000000" w:themeColor="text1"/>
          <w:sz w:val="22"/>
          <w:szCs w:val="22"/>
        </w:rPr>
      </w:pPr>
      <w:r w:rsidRPr="00BB3B4A">
        <w:rPr>
          <w:i w:val="0"/>
          <w:color w:val="000000" w:themeColor="text1"/>
          <w:sz w:val="22"/>
          <w:szCs w:val="22"/>
        </w:rPr>
        <w:t>Após a assinatura do contrato ou instrumento equivalente</w:t>
      </w:r>
      <w:r w:rsidRPr="00BB3B4A">
        <w:rPr>
          <w:i w:val="0"/>
          <w:strike/>
          <w:color w:val="000000" w:themeColor="text1"/>
          <w:sz w:val="22"/>
          <w:szCs w:val="22"/>
        </w:rPr>
        <w:t>,</w:t>
      </w:r>
      <w:r w:rsidRPr="00BB3B4A">
        <w:rPr>
          <w:i w:val="0"/>
          <w:color w:val="000000" w:themeColor="text1"/>
          <w:sz w:val="22"/>
          <w:szCs w:val="22"/>
        </w:rPr>
        <w:t xml:space="preserve"> o órgão ou entidade poderá convocar o representante da empresa contratada para reunião inicial para apresentação do plano de fiscalização, que conterá informações acerca das obrigações contratuais, dos mecanismos de fiscalização, das estratégias para execução do objeto, do plano complementar de execução da contratada, quando houver, do método de aferição dos resultados e das sanções aplicáveis, dentre outros.</w:t>
      </w:r>
    </w:p>
    <w:p w:rsidR="00FA217D" w:rsidRPr="00BB3B4A" w:rsidRDefault="00FA217D" w:rsidP="00332E5D">
      <w:pPr>
        <w:pStyle w:val="Nivel2"/>
        <w:spacing w:afterLines="120" w:line="312" w:lineRule="auto"/>
        <w:ind w:firstLine="709"/>
        <w:rPr>
          <w:sz w:val="22"/>
          <w:szCs w:val="22"/>
        </w:rPr>
      </w:pPr>
      <w:commentRangeStart w:id="11"/>
      <w:r w:rsidRPr="00BB3B4A">
        <w:rPr>
          <w:sz w:val="22"/>
          <w:szCs w:val="22"/>
        </w:rPr>
        <w:t>A execução do contrato deverá ser acompanhada e fiscalizada pelo(s) fiscal(is) do contrato, ou pelos respectivos substitutos (</w:t>
      </w:r>
      <w:hyperlink r:id="rId9" w:anchor="art117" w:history="1">
        <w:r w:rsidRPr="00BB3B4A">
          <w:rPr>
            <w:rStyle w:val="Hyperlink"/>
            <w:sz w:val="22"/>
            <w:szCs w:val="22"/>
          </w:rPr>
          <w:t>Lei nº 14.133, de 2021, art. 117, caput</w:t>
        </w:r>
      </w:hyperlink>
      <w:r w:rsidRPr="00BB3B4A">
        <w:rPr>
          <w:sz w:val="22"/>
          <w:szCs w:val="22"/>
        </w:rPr>
        <w:t>).</w:t>
      </w:r>
    </w:p>
    <w:p w:rsidR="00FA217D" w:rsidRPr="00BB3B4A" w:rsidRDefault="00FA217D" w:rsidP="00332E5D">
      <w:pPr>
        <w:pStyle w:val="Nivel2"/>
        <w:spacing w:afterLines="120" w:line="312" w:lineRule="auto"/>
        <w:ind w:firstLine="709"/>
        <w:rPr>
          <w:sz w:val="22"/>
          <w:szCs w:val="22"/>
        </w:rPr>
      </w:pPr>
      <w:r w:rsidRPr="00BB3B4A">
        <w:rPr>
          <w:sz w:val="22"/>
          <w:szCs w:val="22"/>
        </w:rPr>
        <w:t>O fiscal técnico do contrato acompanhará a execução do contrato, para que sejam cumpridas todas as condições estabelecidas no contrato, de modo a assegurar os melhores resultados para a Administração. (Decreto nº 11.246, de 2022, art. 22, VI);</w:t>
      </w:r>
    </w:p>
    <w:p w:rsidR="00FA217D" w:rsidRPr="00BB3B4A" w:rsidRDefault="00FA217D" w:rsidP="00332E5D">
      <w:pPr>
        <w:pStyle w:val="Nivel3"/>
        <w:spacing w:afterLines="120" w:line="312" w:lineRule="auto"/>
        <w:ind w:left="170" w:firstLine="709"/>
        <w:rPr>
          <w:sz w:val="22"/>
          <w:szCs w:val="22"/>
        </w:rPr>
      </w:pPr>
      <w:r w:rsidRPr="00BB3B4A">
        <w:rPr>
          <w:sz w:val="22"/>
          <w:szCs w:val="22"/>
        </w:rPr>
        <w:t>O fiscal técnico do contrato anotará no histórico de gerenciamento do contrato todas as ocorrências relacionadas à execução do contrato, com a descrição do que for necessário para a regularização das faltas ou dos defeitos observados. (</w:t>
      </w:r>
      <w:hyperlink r:id="rId10" w:anchor="art117§1" w:history="1">
        <w:r w:rsidRPr="00BB3B4A">
          <w:rPr>
            <w:rStyle w:val="Hyperlink"/>
            <w:sz w:val="22"/>
            <w:szCs w:val="22"/>
          </w:rPr>
          <w:t>Lei nº 14.133, de 2021, art. 117, §1º</w:t>
        </w:r>
      </w:hyperlink>
      <w:r w:rsidRPr="00BB3B4A">
        <w:rPr>
          <w:sz w:val="22"/>
          <w:szCs w:val="22"/>
        </w:rPr>
        <w:t xml:space="preserve">, e </w:t>
      </w:r>
      <w:hyperlink r:id="rId11" w:anchor="art22" w:history="1">
        <w:r w:rsidRPr="00BB3B4A">
          <w:rPr>
            <w:rStyle w:val="Hyperlink"/>
            <w:sz w:val="22"/>
            <w:szCs w:val="22"/>
          </w:rPr>
          <w:t>Decreto nº 11.246, de 2022, art. 22, II);</w:t>
        </w:r>
        <w:commentRangeEnd w:id="11"/>
        <w:r w:rsidRPr="00BB3B4A">
          <w:rPr>
            <w:rStyle w:val="Hyperlink"/>
            <w:sz w:val="22"/>
            <w:szCs w:val="22"/>
          </w:rPr>
          <w:commentReference w:id="11"/>
        </w:r>
      </w:hyperlink>
    </w:p>
    <w:p w:rsidR="00FA217D" w:rsidRPr="00BB3B4A" w:rsidRDefault="00FA217D" w:rsidP="00332E5D">
      <w:pPr>
        <w:pStyle w:val="Nivel3"/>
        <w:spacing w:afterLines="120" w:line="312" w:lineRule="auto"/>
        <w:ind w:left="170" w:firstLine="709"/>
        <w:rPr>
          <w:sz w:val="22"/>
          <w:szCs w:val="22"/>
        </w:rPr>
      </w:pPr>
      <w:r w:rsidRPr="00BB3B4A">
        <w:rPr>
          <w:sz w:val="22"/>
          <w:szCs w:val="22"/>
        </w:rPr>
        <w:t>Identificada qualquer inexatidão ou irregularidade, o fiscal técnico do contrato emitirá notificações para a correção da execução do contrato, determinando prazo para a correção. (</w:t>
      </w:r>
      <w:hyperlink r:id="rId12" w:anchor="art22" w:history="1">
        <w:r w:rsidRPr="00BB3B4A">
          <w:rPr>
            <w:rStyle w:val="Hyperlink"/>
            <w:sz w:val="22"/>
            <w:szCs w:val="22"/>
          </w:rPr>
          <w:t>Decreto nº 11.246, de 2022, art. 22, III</w:t>
        </w:r>
      </w:hyperlink>
      <w:r w:rsidRPr="00BB3B4A">
        <w:rPr>
          <w:sz w:val="22"/>
          <w:szCs w:val="22"/>
        </w:rPr>
        <w:t xml:space="preserve">); </w:t>
      </w:r>
    </w:p>
    <w:p w:rsidR="00FA217D" w:rsidRPr="00BB3B4A" w:rsidRDefault="00FA217D" w:rsidP="00332E5D">
      <w:pPr>
        <w:pStyle w:val="Nivel3"/>
        <w:spacing w:afterLines="120" w:line="312" w:lineRule="auto"/>
        <w:ind w:left="170" w:firstLine="709"/>
        <w:rPr>
          <w:sz w:val="22"/>
          <w:szCs w:val="22"/>
        </w:rPr>
      </w:pPr>
      <w:r w:rsidRPr="00BB3B4A">
        <w:rPr>
          <w:sz w:val="22"/>
          <w:szCs w:val="22"/>
        </w:rPr>
        <w:t>O fiscal técnico do contrato informará ao gestor do contato, em tempo hábil, a situação que demandar decisão ou adoção de medidas que ultrapassem sua competência, para que adote as medidas necessárias e saneadoras, se for o caso. (</w:t>
      </w:r>
      <w:hyperlink r:id="rId13" w:anchor="art22" w:history="1">
        <w:r w:rsidRPr="00BB3B4A">
          <w:rPr>
            <w:rStyle w:val="Hyperlink"/>
            <w:sz w:val="22"/>
            <w:szCs w:val="22"/>
          </w:rPr>
          <w:t>Decreto nº 11.246, de 2022, art. 22, IV</w:t>
        </w:r>
      </w:hyperlink>
      <w:r w:rsidRPr="00BB3B4A">
        <w:rPr>
          <w:sz w:val="22"/>
          <w:szCs w:val="22"/>
        </w:rPr>
        <w:t>).</w:t>
      </w:r>
    </w:p>
    <w:p w:rsidR="00FA217D" w:rsidRPr="00BB3B4A" w:rsidRDefault="00FA217D" w:rsidP="00332E5D">
      <w:pPr>
        <w:pStyle w:val="Nivel3"/>
        <w:spacing w:afterLines="120" w:line="312" w:lineRule="auto"/>
        <w:ind w:left="170" w:firstLine="709"/>
        <w:rPr>
          <w:sz w:val="22"/>
          <w:szCs w:val="22"/>
        </w:rPr>
      </w:pPr>
      <w:r w:rsidRPr="00BB3B4A">
        <w:rPr>
          <w:sz w:val="22"/>
          <w:szCs w:val="22"/>
        </w:rPr>
        <w:lastRenderedPageBreak/>
        <w:t>No caso de ocorrências que possam inviabilizar a execução do contrato nas datas aprazadas, o fiscal técnico do contrato comunicará o fato imediatamente ao gestor do contrato. (</w:t>
      </w:r>
      <w:hyperlink r:id="rId14" w:anchor="art22" w:history="1">
        <w:r w:rsidRPr="00BB3B4A">
          <w:rPr>
            <w:rStyle w:val="Hyperlink"/>
            <w:sz w:val="22"/>
            <w:szCs w:val="22"/>
          </w:rPr>
          <w:t>Decreto nº 11.246, de 2022, art. 22, V</w:t>
        </w:r>
      </w:hyperlink>
      <w:r w:rsidRPr="00BB3B4A">
        <w:rPr>
          <w:sz w:val="22"/>
          <w:szCs w:val="22"/>
        </w:rPr>
        <w:t>).</w:t>
      </w:r>
    </w:p>
    <w:p w:rsidR="00FA217D" w:rsidRPr="00BB3B4A" w:rsidRDefault="00FA217D" w:rsidP="00332E5D">
      <w:pPr>
        <w:pStyle w:val="Nivel3"/>
        <w:spacing w:afterLines="120" w:line="312" w:lineRule="auto"/>
        <w:ind w:left="170" w:firstLine="709"/>
        <w:rPr>
          <w:sz w:val="22"/>
          <w:szCs w:val="22"/>
        </w:rPr>
      </w:pPr>
      <w:r w:rsidRPr="00BB3B4A">
        <w:rPr>
          <w:sz w:val="22"/>
          <w:szCs w:val="22"/>
        </w:rPr>
        <w:t xml:space="preserve">O fiscal técnico do contrato comunicar ao gestor do contrato, em tempo hábil, o término do contrato sob sua responsabilidade, com vistas à renovação tempestiva ou à prorrogação contratual </w:t>
      </w:r>
      <w:hyperlink r:id="rId15" w:anchor="art22" w:history="1">
        <w:r w:rsidRPr="00BB3B4A">
          <w:rPr>
            <w:rStyle w:val="Hyperlink"/>
            <w:sz w:val="22"/>
            <w:szCs w:val="22"/>
          </w:rPr>
          <w:t>(Decreto nº 11.246, de 2022, art. 22, VII</w:t>
        </w:r>
      </w:hyperlink>
      <w:r w:rsidRPr="00BB3B4A">
        <w:rPr>
          <w:sz w:val="22"/>
          <w:szCs w:val="22"/>
        </w:rPr>
        <w:t>).</w:t>
      </w:r>
    </w:p>
    <w:p w:rsidR="00FA217D" w:rsidRPr="00BB3B4A" w:rsidRDefault="00FA217D" w:rsidP="00332E5D">
      <w:pPr>
        <w:pStyle w:val="Nivel2"/>
        <w:spacing w:afterLines="120" w:line="312" w:lineRule="auto"/>
        <w:ind w:firstLine="709"/>
        <w:rPr>
          <w:sz w:val="22"/>
          <w:szCs w:val="22"/>
        </w:rPr>
      </w:pPr>
      <w:r w:rsidRPr="00BB3B4A">
        <w:rPr>
          <w:sz w:val="22"/>
          <w:szCs w:val="22"/>
        </w:rPr>
        <w:t>O fiscal administrativo do contrato verificará a manutenção das condições de habilitação da contratada, acompanhará o empenho, o pagamento, as garantias, as glosas e a formalização de apostilamento e termos aditivos, solicitando quaisquer documentos comprobatórios pertinentes, caso necessário (</w:t>
      </w:r>
      <w:hyperlink r:id="rId16" w:anchor="art23" w:history="1">
        <w:r w:rsidRPr="00BB3B4A">
          <w:rPr>
            <w:rStyle w:val="Hyperlink"/>
            <w:sz w:val="22"/>
            <w:szCs w:val="22"/>
          </w:rPr>
          <w:t>Art. 23, I e II, do Decreto nº 11.246, de 2022</w:t>
        </w:r>
      </w:hyperlink>
      <w:r w:rsidRPr="00BB3B4A">
        <w:rPr>
          <w:sz w:val="22"/>
          <w:szCs w:val="22"/>
        </w:rPr>
        <w:t>).</w:t>
      </w:r>
    </w:p>
    <w:p w:rsidR="00FA217D" w:rsidRPr="00BB3B4A" w:rsidRDefault="00FA217D" w:rsidP="00332E5D">
      <w:pPr>
        <w:pStyle w:val="Nivel3"/>
        <w:spacing w:afterLines="120" w:line="312" w:lineRule="auto"/>
        <w:ind w:left="170" w:firstLine="709"/>
        <w:rPr>
          <w:sz w:val="22"/>
          <w:szCs w:val="22"/>
        </w:rPr>
      </w:pPr>
      <w:r w:rsidRPr="00BB3B4A">
        <w:rPr>
          <w:sz w:val="22"/>
          <w:szCs w:val="22"/>
        </w:rPr>
        <w:t>Caso ocorram descumprimento das obrigações contratuais, o fiscal administrativo do contrato atuará tempestivamente na solução do problema, reportando ao gestor do contrato para que tome as providências cabíveis, quando ultrapassar a sua competência; (</w:t>
      </w:r>
      <w:hyperlink r:id="rId17" w:anchor="art23" w:history="1">
        <w:r w:rsidRPr="00BB3B4A">
          <w:rPr>
            <w:rStyle w:val="Hyperlink"/>
            <w:sz w:val="22"/>
            <w:szCs w:val="22"/>
          </w:rPr>
          <w:t>Decreto nº 11.246, de 2022, art. 23, IV</w:t>
        </w:r>
      </w:hyperlink>
      <w:r w:rsidRPr="00BB3B4A">
        <w:rPr>
          <w:sz w:val="22"/>
          <w:szCs w:val="22"/>
        </w:rPr>
        <w:t>).</w:t>
      </w:r>
    </w:p>
    <w:p w:rsidR="00FA217D" w:rsidRPr="00BB3B4A" w:rsidRDefault="00FA217D" w:rsidP="00332E5D">
      <w:pPr>
        <w:pStyle w:val="Nivel2"/>
        <w:spacing w:afterLines="120" w:line="312" w:lineRule="auto"/>
        <w:ind w:firstLine="709"/>
        <w:rPr>
          <w:sz w:val="22"/>
          <w:szCs w:val="22"/>
        </w:rPr>
      </w:pPr>
      <w:r w:rsidRPr="00BB3B4A">
        <w:rPr>
          <w:sz w:val="22"/>
          <w:szCs w:val="22"/>
        </w:rPr>
        <w:t>O gestor do contrato coordenará a atualização do processo de acompanhamento e fiscalização do contrato contendo todos os registros formais da execução no histórico de gerenciamento do contrato, a exemplo da ordem de serviço, do registro de ocorrências, das alterações e das prorrogações contratuais, elaborando relatório com vistas à verificação da necessidade de adequações do contrato para fins de atendimento da finalidade da administração. (</w:t>
      </w:r>
      <w:hyperlink r:id="rId18" w:anchor="art21" w:history="1">
        <w:r w:rsidRPr="00BB3B4A">
          <w:rPr>
            <w:rStyle w:val="Hyperlink"/>
            <w:sz w:val="22"/>
            <w:szCs w:val="22"/>
          </w:rPr>
          <w:t>Decreto nº 11.246, de 2022, art. 21, IV</w:t>
        </w:r>
      </w:hyperlink>
      <w:r w:rsidRPr="00BB3B4A">
        <w:rPr>
          <w:sz w:val="22"/>
          <w:szCs w:val="22"/>
        </w:rPr>
        <w:t>).</w:t>
      </w:r>
    </w:p>
    <w:p w:rsidR="00FA217D" w:rsidRPr="00BB3B4A" w:rsidRDefault="00FA217D" w:rsidP="00332E5D">
      <w:pPr>
        <w:pStyle w:val="Nivel3"/>
        <w:spacing w:afterLines="120" w:line="312" w:lineRule="auto"/>
        <w:ind w:left="170" w:firstLine="709"/>
        <w:rPr>
          <w:sz w:val="22"/>
          <w:szCs w:val="22"/>
        </w:rPr>
      </w:pPr>
      <w:r w:rsidRPr="00BB3B4A">
        <w:rPr>
          <w:sz w:val="22"/>
          <w:szCs w:val="22"/>
        </w:rPr>
        <w:t>O gestor do contrato acompanhará a manutenção das condições de habilitação da contratada, para fins de empenho de despesa e pagamento, e anotará os problemas que obstem o fluxo normal da liquidação e do pagamento da despesa no relatório de riscos eventuais. (</w:t>
      </w:r>
      <w:hyperlink r:id="rId19" w:anchor="art21" w:history="1">
        <w:r w:rsidRPr="00BB3B4A">
          <w:rPr>
            <w:rStyle w:val="Hyperlink"/>
            <w:sz w:val="22"/>
            <w:szCs w:val="22"/>
          </w:rPr>
          <w:t>Decreto nº 11.246, de 2022, art. 21, III</w:t>
        </w:r>
      </w:hyperlink>
      <w:r w:rsidRPr="00BB3B4A">
        <w:rPr>
          <w:sz w:val="22"/>
          <w:szCs w:val="22"/>
        </w:rPr>
        <w:t>).</w:t>
      </w:r>
    </w:p>
    <w:p w:rsidR="00FA217D" w:rsidRPr="00BB3B4A" w:rsidRDefault="00FA217D" w:rsidP="00332E5D">
      <w:pPr>
        <w:pStyle w:val="Nivel3"/>
        <w:spacing w:afterLines="120" w:line="312" w:lineRule="auto"/>
        <w:ind w:left="170" w:firstLine="709"/>
        <w:rPr>
          <w:sz w:val="22"/>
          <w:szCs w:val="22"/>
        </w:rPr>
      </w:pPr>
      <w:r w:rsidRPr="00BB3B4A">
        <w:rPr>
          <w:sz w:val="22"/>
          <w:szCs w:val="22"/>
        </w:rPr>
        <w:t>O gestor do contrato acompanhará os registros realizados pelos fiscais do contrato, de todas as ocorrências relacionadas à execução do contrato e as medidas adotadas, informando, se for o caso, à autoridade superior àquelas que ultrapassarem a sua competência. (</w:t>
      </w:r>
      <w:hyperlink r:id="rId20" w:anchor="art21" w:history="1">
        <w:r w:rsidRPr="00BB3B4A">
          <w:rPr>
            <w:rStyle w:val="Hyperlink"/>
            <w:sz w:val="22"/>
            <w:szCs w:val="22"/>
          </w:rPr>
          <w:t>Decreto nº 11.246, de 2022, art. 21, II</w:t>
        </w:r>
      </w:hyperlink>
      <w:r w:rsidRPr="00BB3B4A">
        <w:rPr>
          <w:sz w:val="22"/>
          <w:szCs w:val="22"/>
        </w:rPr>
        <w:t>).</w:t>
      </w:r>
    </w:p>
    <w:p w:rsidR="00FA217D" w:rsidRPr="00BB3B4A" w:rsidRDefault="00FA217D" w:rsidP="00332E5D">
      <w:pPr>
        <w:pStyle w:val="Nivel3"/>
        <w:spacing w:afterLines="120" w:line="312" w:lineRule="auto"/>
        <w:ind w:left="170" w:firstLine="709"/>
        <w:rPr>
          <w:sz w:val="22"/>
          <w:szCs w:val="22"/>
        </w:rPr>
      </w:pPr>
      <w:r w:rsidRPr="00BB3B4A">
        <w:rPr>
          <w:sz w:val="22"/>
          <w:szCs w:val="22"/>
        </w:rPr>
        <w:t xml:space="preserve">O gestor do contrato emitirá documento comprobatório da avaliação realizada pelos fiscais técnico, administrativo e setorial quanto ao cumprimento de obrigações assumidas pelo contratado, com menção ao seu desempenho na execução contratual, baseado nos indicadores objetivamente definidos e aferidos, e </w:t>
      </w:r>
      <w:r w:rsidRPr="00BB3B4A">
        <w:rPr>
          <w:sz w:val="22"/>
          <w:szCs w:val="22"/>
        </w:rPr>
        <w:lastRenderedPageBreak/>
        <w:t>a eventuais penalidades aplicadas, devendo constar do cadastro de atesto de cumprimento de obrigações. (</w:t>
      </w:r>
      <w:hyperlink r:id="rId21" w:anchor="art21" w:history="1">
        <w:r w:rsidRPr="00BB3B4A">
          <w:rPr>
            <w:rStyle w:val="Hyperlink"/>
            <w:sz w:val="22"/>
            <w:szCs w:val="22"/>
          </w:rPr>
          <w:t>Decreto nº 11.246, de 2022, art. 21, VIII</w:t>
        </w:r>
      </w:hyperlink>
      <w:r w:rsidRPr="00BB3B4A">
        <w:rPr>
          <w:sz w:val="22"/>
          <w:szCs w:val="22"/>
        </w:rPr>
        <w:t>).</w:t>
      </w:r>
    </w:p>
    <w:p w:rsidR="00FA217D" w:rsidRPr="00BB3B4A" w:rsidRDefault="00FA217D" w:rsidP="00332E5D">
      <w:pPr>
        <w:pStyle w:val="Nivel3"/>
        <w:spacing w:afterLines="120" w:line="312" w:lineRule="auto"/>
        <w:ind w:left="170" w:firstLine="709"/>
        <w:rPr>
          <w:sz w:val="22"/>
          <w:szCs w:val="22"/>
        </w:rPr>
      </w:pPr>
      <w:r w:rsidRPr="00BB3B4A">
        <w:rPr>
          <w:sz w:val="22"/>
          <w:szCs w:val="22"/>
        </w:rPr>
        <w:t>O gestor do contrato tomará providências para a formalização de processo administrativo de responsabilização para fins de aplicação de sanções, a ser conduzido pela comissão de que trata o art. 158 da Lei nº 14.133, de 2021, ou pelo agente ou pelo setor com competência para tal, conforme o caso. (</w:t>
      </w:r>
      <w:hyperlink r:id="rId22" w:anchor="art21" w:history="1">
        <w:r w:rsidRPr="00BB3B4A">
          <w:rPr>
            <w:rStyle w:val="Hyperlink"/>
            <w:sz w:val="22"/>
            <w:szCs w:val="22"/>
          </w:rPr>
          <w:t>Decreto nº 11.246, de 2022, art. 21, X</w:t>
        </w:r>
      </w:hyperlink>
      <w:r w:rsidRPr="00BB3B4A">
        <w:rPr>
          <w:sz w:val="22"/>
          <w:szCs w:val="22"/>
        </w:rPr>
        <w:t>).</w:t>
      </w:r>
    </w:p>
    <w:p w:rsidR="00FA217D" w:rsidRPr="00BB3B4A" w:rsidRDefault="00FA217D" w:rsidP="00332E5D">
      <w:pPr>
        <w:pStyle w:val="Nivel2"/>
        <w:spacing w:afterLines="120" w:line="312" w:lineRule="auto"/>
        <w:ind w:firstLine="709"/>
        <w:rPr>
          <w:sz w:val="22"/>
          <w:szCs w:val="22"/>
        </w:rPr>
      </w:pPr>
      <w:r w:rsidRPr="00BB3B4A">
        <w:rPr>
          <w:sz w:val="22"/>
          <w:szCs w:val="22"/>
        </w:rPr>
        <w:t>O fiscal administrativo do contrato comunicará ao gestor do contrato, em tempo hábil, o término do contrato sob sua responsabilidade, com vistas à tempestiva renovação ou prorrogação contratual. (</w:t>
      </w:r>
      <w:hyperlink r:id="rId23" w:anchor="art22" w:history="1">
        <w:r w:rsidRPr="00BB3B4A">
          <w:rPr>
            <w:rStyle w:val="Hyperlink"/>
            <w:sz w:val="22"/>
            <w:szCs w:val="22"/>
          </w:rPr>
          <w:t>Decreto nº 11.246, de 2022, art. 22, VII</w:t>
        </w:r>
      </w:hyperlink>
      <w:r w:rsidRPr="00BB3B4A">
        <w:rPr>
          <w:sz w:val="22"/>
          <w:szCs w:val="22"/>
        </w:rPr>
        <w:t>).</w:t>
      </w:r>
    </w:p>
    <w:p w:rsidR="00FA217D" w:rsidRPr="00BB3B4A" w:rsidRDefault="00FA217D" w:rsidP="00332E5D">
      <w:pPr>
        <w:pStyle w:val="Nivel2"/>
        <w:spacing w:afterLines="120" w:line="312" w:lineRule="auto"/>
        <w:ind w:firstLine="709"/>
        <w:rPr>
          <w:sz w:val="22"/>
          <w:szCs w:val="22"/>
        </w:rPr>
      </w:pPr>
      <w:r w:rsidRPr="00BB3B4A">
        <w:rPr>
          <w:sz w:val="22"/>
          <w:szCs w:val="22"/>
        </w:rPr>
        <w:t>O gestor do contrato deverá elaborará relatório final com informações sobre a consecução dos objetivos que tenham justificado a contratação e eventuais condutas a serem adotadas para o aprimoramento das atividades da Administração. (</w:t>
      </w:r>
      <w:hyperlink r:id="rId24" w:anchor="art21" w:history="1">
        <w:r w:rsidRPr="00BB3B4A">
          <w:rPr>
            <w:rStyle w:val="Hyperlink"/>
            <w:sz w:val="22"/>
            <w:szCs w:val="22"/>
          </w:rPr>
          <w:t>Decreto nº 11.246, de 2022, art. 21, VI</w:t>
        </w:r>
      </w:hyperlink>
      <w:r w:rsidRPr="00BB3B4A">
        <w:rPr>
          <w:sz w:val="22"/>
          <w:szCs w:val="22"/>
        </w:rPr>
        <w:t>).</w:t>
      </w:r>
    </w:p>
    <w:p w:rsidR="00FA217D" w:rsidRPr="00BB3B4A" w:rsidRDefault="00BB3B4A" w:rsidP="00332E5D">
      <w:pPr>
        <w:pStyle w:val="Nvel2-Red"/>
        <w:spacing w:afterLines="120" w:line="312" w:lineRule="auto"/>
        <w:ind w:firstLine="709"/>
        <w:rPr>
          <w:i w:val="0"/>
          <w:color w:val="000000" w:themeColor="text1"/>
          <w:sz w:val="22"/>
          <w:szCs w:val="22"/>
        </w:rPr>
      </w:pPr>
      <w:r w:rsidRPr="00BB3B4A">
        <w:rPr>
          <w:i w:val="0"/>
          <w:color w:val="000000" w:themeColor="text1"/>
          <w:sz w:val="22"/>
          <w:szCs w:val="22"/>
        </w:rPr>
        <w:t xml:space="preserve">Gestor do contrato: </w:t>
      </w:r>
      <w:r w:rsidR="00332E5D">
        <w:rPr>
          <w:i w:val="0"/>
          <w:color w:val="000000" w:themeColor="text1"/>
          <w:sz w:val="22"/>
          <w:szCs w:val="22"/>
        </w:rPr>
        <w:t>ÉBERT CRISÓSTOMO MACHADO DA SILVEIRA</w:t>
      </w:r>
      <w:r w:rsidRPr="00BB3B4A">
        <w:rPr>
          <w:i w:val="0"/>
          <w:color w:val="000000" w:themeColor="text1"/>
          <w:sz w:val="22"/>
          <w:szCs w:val="22"/>
        </w:rPr>
        <w:t xml:space="preserve">  </w:t>
      </w:r>
    </w:p>
    <w:p w:rsidR="00BB3B4A" w:rsidRPr="00BB3B4A" w:rsidRDefault="00BB3B4A" w:rsidP="00332E5D">
      <w:pPr>
        <w:pStyle w:val="Nvel2-Red"/>
        <w:spacing w:afterLines="120" w:line="312" w:lineRule="auto"/>
        <w:ind w:firstLine="709"/>
        <w:rPr>
          <w:i w:val="0"/>
          <w:color w:val="000000" w:themeColor="text1"/>
          <w:sz w:val="22"/>
          <w:szCs w:val="22"/>
        </w:rPr>
      </w:pPr>
      <w:r w:rsidRPr="00BB3B4A">
        <w:rPr>
          <w:i w:val="0"/>
          <w:color w:val="000000" w:themeColor="text1"/>
          <w:sz w:val="22"/>
          <w:szCs w:val="22"/>
        </w:rPr>
        <w:t xml:space="preserve">Fiscal do contrato: </w:t>
      </w:r>
      <w:r w:rsidR="00332E5D">
        <w:rPr>
          <w:i w:val="0"/>
          <w:color w:val="000000" w:themeColor="text1"/>
          <w:sz w:val="22"/>
          <w:szCs w:val="22"/>
        </w:rPr>
        <w:t>ÉBERT CRISÓSTOMO MACHADO DA SILVEIRA</w:t>
      </w:r>
      <w:r w:rsidR="00332E5D" w:rsidRPr="00BB3B4A">
        <w:rPr>
          <w:i w:val="0"/>
          <w:color w:val="000000" w:themeColor="text1"/>
          <w:sz w:val="22"/>
          <w:szCs w:val="22"/>
        </w:rPr>
        <w:t xml:space="preserve">  </w:t>
      </w:r>
    </w:p>
    <w:p w:rsidR="00FA217D" w:rsidRPr="00BB3B4A" w:rsidRDefault="00FA217D" w:rsidP="00332E5D">
      <w:pPr>
        <w:pStyle w:val="Nivel01"/>
        <w:spacing w:before="120" w:afterLines="120" w:line="312" w:lineRule="auto"/>
        <w:rPr>
          <w:sz w:val="22"/>
          <w:szCs w:val="22"/>
        </w:rPr>
      </w:pPr>
      <w:r w:rsidRPr="00BB3B4A">
        <w:rPr>
          <w:sz w:val="22"/>
          <w:szCs w:val="22"/>
        </w:rPr>
        <w:t>CRITÉRIOS DE MEDIÇÃO E DE PAGAMENTO</w:t>
      </w:r>
    </w:p>
    <w:p w:rsidR="00FA217D" w:rsidRPr="00BB3B4A" w:rsidRDefault="00FA217D" w:rsidP="00332E5D">
      <w:pPr>
        <w:pStyle w:val="Nvel1-SemNum"/>
        <w:spacing w:before="120" w:afterLines="120" w:line="312" w:lineRule="auto"/>
        <w:rPr>
          <w:color w:val="auto"/>
          <w:sz w:val="22"/>
          <w:szCs w:val="22"/>
          <w:lang w:eastAsia="en-US"/>
        </w:rPr>
      </w:pPr>
      <w:r w:rsidRPr="00BB3B4A">
        <w:rPr>
          <w:color w:val="auto"/>
          <w:sz w:val="22"/>
          <w:szCs w:val="22"/>
          <w:lang w:eastAsia="en-US"/>
        </w:rPr>
        <w:t>Recebimento do Objeto</w:t>
      </w:r>
    </w:p>
    <w:p w:rsidR="00FA217D" w:rsidRPr="00BB3B4A" w:rsidRDefault="00FA217D" w:rsidP="00332E5D">
      <w:pPr>
        <w:pStyle w:val="Nivel2"/>
        <w:spacing w:afterLines="120" w:line="312" w:lineRule="auto"/>
        <w:ind w:firstLine="709"/>
        <w:rPr>
          <w:sz w:val="22"/>
          <w:szCs w:val="22"/>
          <w:lang w:eastAsia="en-US"/>
        </w:rPr>
      </w:pPr>
      <w:r w:rsidRPr="00BB3B4A">
        <w:rPr>
          <w:sz w:val="22"/>
          <w:szCs w:val="22"/>
          <w:lang w:eastAsia="en-US"/>
        </w:rPr>
        <w:t xml:space="preserve">Os bens serão recebidos provisoriamente, de forma sumária, no ato da entrega, juntamente com a </w:t>
      </w:r>
      <w:r w:rsidRPr="00BB3B4A">
        <w:rPr>
          <w:rFonts w:eastAsia="Calibri"/>
          <w:sz w:val="22"/>
          <w:szCs w:val="22"/>
          <w:lang w:eastAsia="en-US"/>
        </w:rPr>
        <w:t>nota</w:t>
      </w:r>
      <w:r w:rsidRPr="00BB3B4A">
        <w:rPr>
          <w:sz w:val="22"/>
          <w:szCs w:val="22"/>
          <w:lang w:eastAsia="en-US"/>
        </w:rPr>
        <w:t xml:space="preserve"> fiscal ou instrumento de cobrança equivalente, pelo(a) responsável pelo acompanhamento e fiscalização do contrato, para efeito de posterior verificação de sua conformidade com as especificações constantes no Termo de Referência e na proposta.</w:t>
      </w:r>
    </w:p>
    <w:p w:rsidR="00FA217D" w:rsidRPr="00BB3B4A" w:rsidRDefault="00FA217D" w:rsidP="00332E5D">
      <w:pPr>
        <w:pStyle w:val="Nivel2"/>
        <w:spacing w:afterLines="120" w:line="312" w:lineRule="auto"/>
        <w:ind w:firstLine="709"/>
        <w:rPr>
          <w:sz w:val="22"/>
          <w:szCs w:val="22"/>
          <w:lang w:eastAsia="en-US"/>
        </w:rPr>
      </w:pPr>
      <w:r w:rsidRPr="00BB3B4A">
        <w:rPr>
          <w:sz w:val="22"/>
          <w:szCs w:val="22"/>
          <w:lang w:eastAsia="en-US"/>
        </w:rPr>
        <w:t>Os bens poderão ser rejeitados, no todo ou em parte, inclusive antes do recebimento provisório, quando em desacordo com as especificações constantes no Termo de Referência</w:t>
      </w:r>
      <w:r w:rsidR="00332E5D">
        <w:rPr>
          <w:sz w:val="22"/>
          <w:szCs w:val="22"/>
          <w:lang w:eastAsia="en-US"/>
        </w:rPr>
        <w:t xml:space="preserve"> </w:t>
      </w:r>
      <w:r w:rsidRPr="00BB3B4A">
        <w:rPr>
          <w:sz w:val="22"/>
          <w:szCs w:val="22"/>
          <w:lang w:eastAsia="en-US"/>
        </w:rPr>
        <w:t>e na proposta, deven</w:t>
      </w:r>
      <w:r w:rsidR="00BB3B4A" w:rsidRPr="00BB3B4A">
        <w:rPr>
          <w:sz w:val="22"/>
          <w:szCs w:val="22"/>
          <w:lang w:eastAsia="en-US"/>
        </w:rPr>
        <w:t xml:space="preserve">do ser substituídos no prazo de </w:t>
      </w:r>
      <w:r w:rsidRPr="00BB3B4A">
        <w:rPr>
          <w:color w:val="auto"/>
          <w:sz w:val="22"/>
          <w:szCs w:val="22"/>
          <w:lang w:eastAsia="en-US"/>
        </w:rPr>
        <w:t>(5)</w:t>
      </w:r>
      <w:r w:rsidRPr="00BB3B4A">
        <w:rPr>
          <w:color w:val="FF0000"/>
          <w:sz w:val="22"/>
          <w:szCs w:val="22"/>
          <w:lang w:eastAsia="en-US"/>
        </w:rPr>
        <w:t xml:space="preserve"> </w:t>
      </w:r>
      <w:r w:rsidRPr="00BB3B4A">
        <w:rPr>
          <w:sz w:val="22"/>
          <w:szCs w:val="22"/>
          <w:lang w:eastAsia="en-US"/>
        </w:rPr>
        <w:t>dias, a contar da notificação da contratada, às suas custas, sem prejuízo da aplicação das penalidades.</w:t>
      </w:r>
    </w:p>
    <w:p w:rsidR="00FA217D" w:rsidRPr="00BB3B4A" w:rsidRDefault="00FA217D" w:rsidP="00332E5D">
      <w:pPr>
        <w:pStyle w:val="Nivel2"/>
        <w:spacing w:afterLines="120" w:line="312" w:lineRule="auto"/>
        <w:ind w:firstLine="709"/>
        <w:rPr>
          <w:sz w:val="22"/>
          <w:szCs w:val="22"/>
          <w:lang w:eastAsia="en-US"/>
        </w:rPr>
      </w:pPr>
      <w:commentRangeStart w:id="12"/>
      <w:r w:rsidRPr="00BB3B4A">
        <w:rPr>
          <w:sz w:val="22"/>
          <w:szCs w:val="22"/>
          <w:lang w:eastAsia="en-US"/>
        </w:rPr>
        <w:t xml:space="preserve">O recebimento definitivo ocorrerá no prazo </w:t>
      </w:r>
      <w:r w:rsidRPr="00BB3B4A">
        <w:rPr>
          <w:color w:val="000000" w:themeColor="text1"/>
          <w:sz w:val="22"/>
          <w:szCs w:val="22"/>
          <w:lang w:eastAsia="en-US"/>
        </w:rPr>
        <w:t>de 5 (cinco) dias úteis</w:t>
      </w:r>
      <w:r w:rsidRPr="00BB3B4A">
        <w:rPr>
          <w:color w:val="FF0000"/>
          <w:sz w:val="22"/>
          <w:szCs w:val="22"/>
          <w:lang w:eastAsia="en-US"/>
        </w:rPr>
        <w:t xml:space="preserve">, </w:t>
      </w:r>
      <w:r w:rsidRPr="00BB3B4A">
        <w:rPr>
          <w:sz w:val="22"/>
          <w:szCs w:val="22"/>
          <w:lang w:eastAsia="en-US"/>
        </w:rPr>
        <w:t>a contar do recebimento da nota fiscal ou instrumento de cobrança equivalente pela Administração, após a verificação da qualidade e quantidade do material e consequente aceitação mediante termo detalhado.</w:t>
      </w:r>
      <w:commentRangeEnd w:id="12"/>
      <w:r w:rsidRPr="00BB3B4A">
        <w:rPr>
          <w:rStyle w:val="Refdecomentrio"/>
          <w:color w:val="auto"/>
          <w:sz w:val="22"/>
          <w:szCs w:val="22"/>
        </w:rPr>
        <w:commentReference w:id="12"/>
      </w:r>
    </w:p>
    <w:p w:rsidR="00FA217D" w:rsidRPr="00BB3B4A" w:rsidRDefault="00FA217D" w:rsidP="00332E5D">
      <w:pPr>
        <w:pStyle w:val="Nivel2"/>
        <w:spacing w:afterLines="120" w:line="312" w:lineRule="auto"/>
        <w:ind w:firstLine="709"/>
        <w:rPr>
          <w:sz w:val="22"/>
          <w:szCs w:val="22"/>
          <w:lang w:eastAsia="en-US"/>
        </w:rPr>
      </w:pPr>
      <w:r w:rsidRPr="00BB3B4A">
        <w:rPr>
          <w:sz w:val="22"/>
          <w:szCs w:val="22"/>
          <w:lang w:eastAsia="en-US"/>
        </w:rPr>
        <w:lastRenderedPageBreak/>
        <w:t xml:space="preserve">O prazo para recebimento definitivo poderá ser excepcionalmente prorrogado, </w:t>
      </w:r>
      <w:r w:rsidRPr="00BB3B4A">
        <w:rPr>
          <w:color w:val="auto"/>
          <w:sz w:val="22"/>
          <w:szCs w:val="22"/>
          <w:lang w:eastAsia="en-US"/>
        </w:rPr>
        <w:t>de forma justificada, por igual período, quando houver necessidade de diligências para a aferição do ate</w:t>
      </w:r>
      <w:r w:rsidRPr="00BB3B4A">
        <w:rPr>
          <w:sz w:val="22"/>
          <w:szCs w:val="22"/>
          <w:lang w:eastAsia="en-US"/>
        </w:rPr>
        <w:t>ndimento das exigências contratuais.</w:t>
      </w:r>
    </w:p>
    <w:p w:rsidR="00FA217D" w:rsidRPr="00BB3B4A" w:rsidRDefault="00FA217D" w:rsidP="00332E5D">
      <w:pPr>
        <w:pStyle w:val="Nivel2"/>
        <w:spacing w:afterLines="120" w:line="312" w:lineRule="auto"/>
        <w:ind w:firstLine="709"/>
        <w:rPr>
          <w:sz w:val="22"/>
          <w:szCs w:val="22"/>
          <w:lang w:eastAsia="en-US"/>
        </w:rPr>
      </w:pPr>
      <w:r w:rsidRPr="00BB3B4A">
        <w:rPr>
          <w:bCs/>
          <w:sz w:val="22"/>
          <w:szCs w:val="22"/>
          <w:lang w:eastAsia="en-US"/>
        </w:rPr>
        <w:t xml:space="preserve">No caso de controvérsia sobre a execução do objeto, quanto à dimensão, qualidade e quantidade, deverá ser observado o teor do </w:t>
      </w:r>
      <w:hyperlink r:id="rId25" w:anchor="art143" w:history="1">
        <w:r w:rsidRPr="00BB3B4A">
          <w:rPr>
            <w:rStyle w:val="Hyperlink"/>
            <w:bCs/>
            <w:sz w:val="22"/>
            <w:szCs w:val="22"/>
            <w:lang w:eastAsia="en-US"/>
          </w:rPr>
          <w:t>art. 143 da Lei nº 14.133, de 2021</w:t>
        </w:r>
      </w:hyperlink>
      <w:r w:rsidRPr="00BB3B4A">
        <w:rPr>
          <w:bCs/>
          <w:sz w:val="22"/>
          <w:szCs w:val="22"/>
          <w:lang w:eastAsia="en-US"/>
        </w:rPr>
        <w:t>, comunicando-se à empresa para emissão de Nota Fiscal no que pertence à parcela incontroversa da execução do objeto, para efeito de liquidação e pagamento.</w:t>
      </w:r>
    </w:p>
    <w:p w:rsidR="00FA217D" w:rsidRPr="00BB3B4A" w:rsidRDefault="00FA217D" w:rsidP="00332E5D">
      <w:pPr>
        <w:pStyle w:val="Nivel2"/>
        <w:spacing w:afterLines="120" w:line="312" w:lineRule="auto"/>
        <w:ind w:firstLine="709"/>
        <w:rPr>
          <w:sz w:val="22"/>
          <w:szCs w:val="22"/>
          <w:lang w:eastAsia="en-US"/>
        </w:rPr>
      </w:pPr>
      <w:r w:rsidRPr="00BB3B4A">
        <w:rPr>
          <w:sz w:val="22"/>
          <w:szCs w:val="22"/>
          <w:lang w:eastAsia="en-US"/>
        </w:rPr>
        <w:t>O prazo para a solução, pelo contratado, de inconsistências na execução do objeto ou de saneamento da nota fiscal ou de instrumento de cobrança equivalente, verificadas pela Administração durante a análise prévia à liquidação de despesa, não será computado para os fins do recebimento definitivo.</w:t>
      </w:r>
    </w:p>
    <w:p w:rsidR="00FA217D" w:rsidRPr="00BB3B4A" w:rsidRDefault="00FA217D" w:rsidP="00332E5D">
      <w:pPr>
        <w:pStyle w:val="Nivel2"/>
        <w:spacing w:afterLines="120" w:line="312" w:lineRule="auto"/>
        <w:ind w:firstLine="709"/>
        <w:rPr>
          <w:sz w:val="22"/>
          <w:szCs w:val="22"/>
          <w:lang w:eastAsia="en-US"/>
        </w:rPr>
      </w:pPr>
      <w:r w:rsidRPr="00BB3B4A">
        <w:rPr>
          <w:sz w:val="22"/>
          <w:szCs w:val="22"/>
          <w:lang w:eastAsia="en-US"/>
        </w:rPr>
        <w:t>O recebimento provisório ou definitivo não excluirá a responsabilidade civil pela solidez e pela segurança do serviço nem a responsabilidade ético-profissional pela perfeita execução do contrato.</w:t>
      </w:r>
    </w:p>
    <w:p w:rsidR="00FA217D" w:rsidRPr="00BB3B4A" w:rsidRDefault="00FA217D" w:rsidP="00332E5D">
      <w:pPr>
        <w:pStyle w:val="Nvel1-SemNum"/>
        <w:spacing w:before="120" w:afterLines="120" w:line="312" w:lineRule="auto"/>
        <w:rPr>
          <w:color w:val="auto"/>
          <w:sz w:val="22"/>
          <w:szCs w:val="22"/>
          <w:lang w:eastAsia="en-US"/>
        </w:rPr>
      </w:pPr>
      <w:r w:rsidRPr="00BB3B4A">
        <w:rPr>
          <w:color w:val="auto"/>
          <w:sz w:val="22"/>
          <w:szCs w:val="22"/>
          <w:lang w:eastAsia="en-US"/>
        </w:rPr>
        <w:t>Liquidação</w:t>
      </w:r>
    </w:p>
    <w:p w:rsidR="00FA217D" w:rsidRPr="00BB3B4A" w:rsidRDefault="00FA217D" w:rsidP="00332E5D">
      <w:pPr>
        <w:pStyle w:val="Nivel2"/>
        <w:spacing w:afterLines="120" w:line="312" w:lineRule="auto"/>
        <w:ind w:firstLine="709"/>
        <w:rPr>
          <w:sz w:val="22"/>
          <w:szCs w:val="22"/>
          <w:lang w:eastAsia="en-US"/>
        </w:rPr>
      </w:pPr>
      <w:r w:rsidRPr="00BB3B4A">
        <w:rPr>
          <w:sz w:val="22"/>
          <w:szCs w:val="22"/>
          <w:lang w:eastAsia="en-US"/>
        </w:rPr>
        <w:t xml:space="preserve">Para fins de liquidação, o setor competente deverá verificar se a nota fiscal ou instrumento de cobrança equivalente apresentado expressa os elementos necessários e essenciais do documento, tais como: </w:t>
      </w:r>
    </w:p>
    <w:p w:rsidR="00FA217D" w:rsidRPr="00BB3B4A" w:rsidRDefault="00FA217D" w:rsidP="00332E5D">
      <w:pPr>
        <w:numPr>
          <w:ilvl w:val="0"/>
          <w:numId w:val="4"/>
        </w:numPr>
        <w:suppressAutoHyphens/>
        <w:spacing w:before="120" w:afterLines="120" w:line="312" w:lineRule="auto"/>
        <w:ind w:left="851" w:firstLine="0"/>
        <w:contextualSpacing/>
        <w:jc w:val="both"/>
        <w:rPr>
          <w:rFonts w:ascii="Arial" w:eastAsia="Calibri" w:hAnsi="Arial" w:cs="Arial"/>
          <w:color w:val="000000"/>
          <w:sz w:val="22"/>
          <w:szCs w:val="22"/>
        </w:rPr>
      </w:pPr>
      <w:r w:rsidRPr="00BB3B4A">
        <w:rPr>
          <w:rFonts w:ascii="Arial" w:eastAsia="Calibri" w:hAnsi="Arial" w:cs="Arial"/>
          <w:color w:val="000000"/>
          <w:sz w:val="22"/>
          <w:szCs w:val="22"/>
        </w:rPr>
        <w:t>o prazo de validade;</w:t>
      </w:r>
    </w:p>
    <w:p w:rsidR="00FA217D" w:rsidRPr="00BB3B4A" w:rsidRDefault="00FA217D" w:rsidP="00332E5D">
      <w:pPr>
        <w:numPr>
          <w:ilvl w:val="0"/>
          <w:numId w:val="4"/>
        </w:numPr>
        <w:suppressAutoHyphens/>
        <w:spacing w:before="120" w:afterLines="120" w:line="312" w:lineRule="auto"/>
        <w:ind w:left="851" w:firstLine="0"/>
        <w:contextualSpacing/>
        <w:jc w:val="both"/>
        <w:rPr>
          <w:rFonts w:ascii="Arial" w:eastAsia="Calibri" w:hAnsi="Arial" w:cs="Arial"/>
          <w:color w:val="000000"/>
          <w:sz w:val="22"/>
          <w:szCs w:val="22"/>
        </w:rPr>
      </w:pPr>
      <w:r w:rsidRPr="00BB3B4A">
        <w:rPr>
          <w:rFonts w:ascii="Arial" w:eastAsia="Calibri" w:hAnsi="Arial" w:cs="Arial"/>
          <w:color w:val="000000"/>
          <w:sz w:val="22"/>
          <w:szCs w:val="22"/>
        </w:rPr>
        <w:t xml:space="preserve">a data da emissão; </w:t>
      </w:r>
    </w:p>
    <w:p w:rsidR="00FA217D" w:rsidRPr="00BB3B4A" w:rsidRDefault="00FA217D" w:rsidP="00332E5D">
      <w:pPr>
        <w:numPr>
          <w:ilvl w:val="0"/>
          <w:numId w:val="4"/>
        </w:numPr>
        <w:suppressAutoHyphens/>
        <w:spacing w:before="120" w:afterLines="120" w:line="312" w:lineRule="auto"/>
        <w:ind w:left="851" w:firstLine="0"/>
        <w:contextualSpacing/>
        <w:jc w:val="both"/>
        <w:rPr>
          <w:rFonts w:ascii="Arial" w:eastAsia="Calibri" w:hAnsi="Arial" w:cs="Arial"/>
          <w:color w:val="000000"/>
          <w:sz w:val="22"/>
          <w:szCs w:val="22"/>
        </w:rPr>
      </w:pPr>
      <w:r w:rsidRPr="00BB3B4A">
        <w:rPr>
          <w:rFonts w:ascii="Arial" w:eastAsia="Calibri" w:hAnsi="Arial" w:cs="Arial"/>
          <w:color w:val="000000"/>
          <w:sz w:val="22"/>
          <w:szCs w:val="22"/>
        </w:rPr>
        <w:t xml:space="preserve">os dados do contrato e do órgão contratante; </w:t>
      </w:r>
    </w:p>
    <w:p w:rsidR="00FA217D" w:rsidRPr="00BB3B4A" w:rsidRDefault="00FA217D" w:rsidP="00332E5D">
      <w:pPr>
        <w:numPr>
          <w:ilvl w:val="0"/>
          <w:numId w:val="4"/>
        </w:numPr>
        <w:suppressAutoHyphens/>
        <w:spacing w:before="120" w:afterLines="120" w:line="312" w:lineRule="auto"/>
        <w:ind w:left="851" w:firstLine="0"/>
        <w:contextualSpacing/>
        <w:jc w:val="both"/>
        <w:rPr>
          <w:rFonts w:ascii="Arial" w:eastAsia="Calibri" w:hAnsi="Arial" w:cs="Arial"/>
          <w:color w:val="000000"/>
          <w:sz w:val="22"/>
          <w:szCs w:val="22"/>
        </w:rPr>
      </w:pPr>
      <w:r w:rsidRPr="00BB3B4A">
        <w:rPr>
          <w:rFonts w:ascii="Arial" w:eastAsia="Calibri" w:hAnsi="Arial" w:cs="Arial"/>
          <w:color w:val="000000"/>
          <w:sz w:val="22"/>
          <w:szCs w:val="22"/>
        </w:rPr>
        <w:t xml:space="preserve">o período respectivo de execução do contrato; </w:t>
      </w:r>
    </w:p>
    <w:p w:rsidR="00FA217D" w:rsidRPr="00BB3B4A" w:rsidRDefault="00FA217D" w:rsidP="00332E5D">
      <w:pPr>
        <w:numPr>
          <w:ilvl w:val="0"/>
          <w:numId w:val="4"/>
        </w:numPr>
        <w:suppressAutoHyphens/>
        <w:spacing w:before="120" w:afterLines="120" w:line="312" w:lineRule="auto"/>
        <w:ind w:left="851" w:firstLine="0"/>
        <w:contextualSpacing/>
        <w:jc w:val="both"/>
        <w:rPr>
          <w:rFonts w:ascii="Arial" w:eastAsia="Calibri" w:hAnsi="Arial" w:cs="Arial"/>
          <w:color w:val="000000"/>
          <w:sz w:val="22"/>
          <w:szCs w:val="22"/>
        </w:rPr>
      </w:pPr>
      <w:r w:rsidRPr="00BB3B4A">
        <w:rPr>
          <w:rFonts w:ascii="Arial" w:eastAsia="Calibri" w:hAnsi="Arial" w:cs="Arial"/>
          <w:color w:val="000000"/>
          <w:sz w:val="22"/>
          <w:szCs w:val="22"/>
        </w:rPr>
        <w:t xml:space="preserve">o valor a pagar; e </w:t>
      </w:r>
    </w:p>
    <w:p w:rsidR="00FA217D" w:rsidRPr="00BB3B4A" w:rsidRDefault="00FA217D" w:rsidP="00332E5D">
      <w:pPr>
        <w:numPr>
          <w:ilvl w:val="0"/>
          <w:numId w:val="4"/>
        </w:numPr>
        <w:suppressAutoHyphens/>
        <w:spacing w:before="120" w:afterLines="120" w:line="312" w:lineRule="auto"/>
        <w:ind w:left="851" w:firstLine="0"/>
        <w:contextualSpacing/>
        <w:jc w:val="both"/>
        <w:rPr>
          <w:rFonts w:ascii="Arial" w:eastAsia="Calibri" w:hAnsi="Arial" w:cs="Arial"/>
          <w:color w:val="000000"/>
          <w:sz w:val="22"/>
          <w:szCs w:val="22"/>
        </w:rPr>
      </w:pPr>
      <w:r w:rsidRPr="00BB3B4A">
        <w:rPr>
          <w:rFonts w:ascii="Arial" w:eastAsia="Calibri" w:hAnsi="Arial" w:cs="Arial"/>
          <w:color w:val="000000"/>
          <w:sz w:val="22"/>
          <w:szCs w:val="22"/>
        </w:rPr>
        <w:t>eventual destaque do valor de retenções tributárias cabíveis.</w:t>
      </w:r>
    </w:p>
    <w:p w:rsidR="00FA217D" w:rsidRPr="00BB3B4A" w:rsidRDefault="00FA217D" w:rsidP="00332E5D">
      <w:pPr>
        <w:pStyle w:val="Nivel2"/>
        <w:spacing w:afterLines="120" w:line="312" w:lineRule="auto"/>
        <w:ind w:firstLine="709"/>
        <w:rPr>
          <w:sz w:val="22"/>
          <w:szCs w:val="22"/>
          <w:lang w:eastAsia="en-US"/>
        </w:rPr>
      </w:pPr>
      <w:r w:rsidRPr="00BB3B4A">
        <w:rPr>
          <w:rFonts w:eastAsia="Calibri"/>
          <w:sz w:val="22"/>
          <w:szCs w:val="22"/>
          <w:lang w:eastAsia="en-US"/>
        </w:rPr>
        <w:t xml:space="preserve"> Havendo erro na apresentação da nota fiscal ou instrumento de cobrança equivalente, ou circunstância que impeça a </w:t>
      </w:r>
      <w:r w:rsidRPr="00BB3B4A">
        <w:rPr>
          <w:sz w:val="22"/>
          <w:szCs w:val="22"/>
          <w:lang w:eastAsia="en-US"/>
        </w:rPr>
        <w:t>liquidação da despesa, esta ficará sobrestada até que o contratado providencie as medidas saneadoras, reiniciando-se o prazo após a comprovação da regularização da situação, sem ônus ao contratante;</w:t>
      </w:r>
    </w:p>
    <w:p w:rsidR="00FA217D" w:rsidRPr="00BB3B4A" w:rsidRDefault="00FA217D" w:rsidP="00332E5D">
      <w:pPr>
        <w:pStyle w:val="Nivel2"/>
        <w:spacing w:afterLines="120" w:line="312" w:lineRule="auto"/>
        <w:ind w:firstLine="709"/>
        <w:rPr>
          <w:sz w:val="22"/>
          <w:szCs w:val="22"/>
          <w:lang w:eastAsia="en-US"/>
        </w:rPr>
      </w:pPr>
      <w:r w:rsidRPr="00BB3B4A">
        <w:rPr>
          <w:sz w:val="22"/>
          <w:szCs w:val="22"/>
          <w:lang w:eastAsia="en-US"/>
        </w:rPr>
        <w:t xml:space="preserve"> A nota fiscal ou instrumento de cobrança equivalente deverá ser obrigatoriamente acompanhado da comprovação da regularidade fiscal, constatada por meio de consulta </w:t>
      </w:r>
      <w:r w:rsidRPr="00BB3B4A">
        <w:rPr>
          <w:i/>
          <w:iCs/>
          <w:sz w:val="22"/>
          <w:szCs w:val="22"/>
          <w:lang w:eastAsia="en-US"/>
        </w:rPr>
        <w:t>on-line</w:t>
      </w:r>
      <w:r w:rsidRPr="00BB3B4A">
        <w:rPr>
          <w:sz w:val="22"/>
          <w:szCs w:val="22"/>
          <w:lang w:eastAsia="en-US"/>
        </w:rPr>
        <w:t xml:space="preserve"> ao SICAF ou, na impossibilidade de acesso ao referido </w:t>
      </w:r>
      <w:r w:rsidRPr="00BB3B4A">
        <w:rPr>
          <w:sz w:val="22"/>
          <w:szCs w:val="22"/>
          <w:lang w:eastAsia="en-US"/>
        </w:rPr>
        <w:lastRenderedPageBreak/>
        <w:t xml:space="preserve">Sistema, mediante consulta aos sítios eletrônicos oficiais ou à documentação mencionada no </w:t>
      </w:r>
      <w:hyperlink r:id="rId26" w:anchor="art68" w:history="1">
        <w:r w:rsidRPr="00BB3B4A">
          <w:rPr>
            <w:rStyle w:val="Hyperlink"/>
            <w:sz w:val="22"/>
            <w:szCs w:val="22"/>
            <w:lang w:eastAsia="en-US"/>
          </w:rPr>
          <w:t xml:space="preserve">art. 68 da Lei nº 14.133, de 2021.  </w:t>
        </w:r>
      </w:hyperlink>
    </w:p>
    <w:p w:rsidR="00FA217D" w:rsidRPr="00BB3B4A" w:rsidRDefault="00FA217D" w:rsidP="00332E5D">
      <w:pPr>
        <w:pStyle w:val="Nivel2"/>
        <w:spacing w:afterLines="120" w:line="312" w:lineRule="auto"/>
        <w:ind w:firstLine="709"/>
        <w:rPr>
          <w:sz w:val="22"/>
          <w:szCs w:val="22"/>
          <w:lang w:eastAsia="en-US"/>
        </w:rPr>
      </w:pPr>
      <w:r w:rsidRPr="00BB3B4A">
        <w:rPr>
          <w:sz w:val="22"/>
          <w:szCs w:val="22"/>
          <w:lang w:eastAsia="en-US"/>
        </w:rPr>
        <w:t>A Administração deverá realizar consulta ao SICAF para: a) verificar a manutenção das condições de habilitação exigidas no edital; b) identificar possível razão que impeça a participação em licitação, no âmbito do órgão ou entidade, que implique proibição de contratar com o Poder Público, bem como ocorrências impeditivas indiretas.</w:t>
      </w:r>
    </w:p>
    <w:p w:rsidR="00FA217D" w:rsidRPr="00BB3B4A" w:rsidRDefault="00FA217D" w:rsidP="00332E5D">
      <w:pPr>
        <w:pStyle w:val="Nivel2"/>
        <w:spacing w:afterLines="120" w:line="312" w:lineRule="auto"/>
        <w:ind w:firstLine="709"/>
        <w:rPr>
          <w:sz w:val="22"/>
          <w:szCs w:val="22"/>
          <w:lang w:eastAsia="en-US"/>
        </w:rPr>
      </w:pPr>
      <w:r w:rsidRPr="00BB3B4A">
        <w:rPr>
          <w:sz w:val="22"/>
          <w:szCs w:val="22"/>
          <w:lang w:eastAsia="en-US"/>
        </w:rPr>
        <w:t xml:space="preserve">Constatando-se, junto ao SICAF, a situação de irregularidade do contratado, será providenciada sua notificação, por escrito, para que, </w:t>
      </w:r>
      <w:r w:rsidRPr="00BB3B4A">
        <w:rPr>
          <w:b/>
          <w:sz w:val="22"/>
          <w:szCs w:val="22"/>
          <w:u w:val="single"/>
          <w:lang w:eastAsia="en-US"/>
        </w:rPr>
        <w:t>no prazo de 5 (cinco) dias úteis</w:t>
      </w:r>
      <w:r w:rsidRPr="00BB3B4A">
        <w:rPr>
          <w:sz w:val="22"/>
          <w:szCs w:val="22"/>
          <w:lang w:eastAsia="en-US"/>
        </w:rPr>
        <w:t>, regularize sua situação ou, no mesmo prazo, apresente sua defesa. O prazo poderá ser prorrogado uma vez, por igual período, a critério do contratante.</w:t>
      </w:r>
    </w:p>
    <w:p w:rsidR="00FA217D" w:rsidRPr="00BB3B4A" w:rsidRDefault="00FA217D" w:rsidP="00332E5D">
      <w:pPr>
        <w:pStyle w:val="Nivel2"/>
        <w:spacing w:afterLines="120" w:line="312" w:lineRule="auto"/>
        <w:ind w:firstLine="709"/>
        <w:rPr>
          <w:sz w:val="22"/>
          <w:szCs w:val="22"/>
          <w:lang w:eastAsia="en-US"/>
        </w:rPr>
      </w:pPr>
      <w:r w:rsidRPr="00BB3B4A">
        <w:rPr>
          <w:sz w:val="22"/>
          <w:szCs w:val="22"/>
          <w:lang w:eastAsia="en-US"/>
        </w:rPr>
        <w:t xml:space="preserve">Não havendo regularização ou sendo a defesa considerada improcedente, o contratante deverá comunicar aos órgãos responsáveis pela fiscalização da regularidade fiscal quanto à inadimplência do contratado, bem como quanto à existência de pagamento a ser efetuado, para que sejam acionados os meios pertinentes e necessários para garantir o recebimento de seus créditos.  </w:t>
      </w:r>
    </w:p>
    <w:p w:rsidR="00FA217D" w:rsidRPr="00BB3B4A" w:rsidRDefault="00FA217D" w:rsidP="00332E5D">
      <w:pPr>
        <w:pStyle w:val="Nivel2"/>
        <w:spacing w:afterLines="120" w:line="312" w:lineRule="auto"/>
        <w:ind w:firstLine="709"/>
        <w:rPr>
          <w:sz w:val="22"/>
          <w:szCs w:val="22"/>
          <w:lang w:eastAsia="en-US"/>
        </w:rPr>
      </w:pPr>
      <w:r w:rsidRPr="00BB3B4A">
        <w:rPr>
          <w:sz w:val="22"/>
          <w:szCs w:val="22"/>
          <w:lang w:eastAsia="en-US"/>
        </w:rPr>
        <w:t xml:space="preserve">Persistindo a irregularidade, o contratante deverá adotar as medidas necessárias à rescisão contratual nos autos do processo administrativo correspondente, assegurada ao contratado a ampla defesa. </w:t>
      </w:r>
    </w:p>
    <w:p w:rsidR="00FA217D" w:rsidRPr="00BB3B4A" w:rsidRDefault="00FA217D" w:rsidP="00332E5D">
      <w:pPr>
        <w:pStyle w:val="Nivel2"/>
        <w:spacing w:afterLines="120" w:line="312" w:lineRule="auto"/>
        <w:ind w:firstLine="709"/>
        <w:rPr>
          <w:sz w:val="22"/>
          <w:szCs w:val="22"/>
          <w:lang w:eastAsia="en-US"/>
        </w:rPr>
      </w:pPr>
      <w:r w:rsidRPr="00BB3B4A">
        <w:rPr>
          <w:sz w:val="22"/>
          <w:szCs w:val="22"/>
          <w:lang w:eastAsia="en-US"/>
        </w:rPr>
        <w:t xml:space="preserve">Havendo a efetiva execução do objeto, os pagamentos serão realizados normalmente, até que se decida pela rescisão do contrato, caso o contratado não regularize sua situação junto ao SICAF.  </w:t>
      </w:r>
    </w:p>
    <w:p w:rsidR="00FA217D" w:rsidRPr="00BB3B4A" w:rsidRDefault="00FA217D" w:rsidP="00332E5D">
      <w:pPr>
        <w:pStyle w:val="Nvel1-SemNum"/>
        <w:spacing w:before="120" w:afterLines="120" w:line="312" w:lineRule="auto"/>
        <w:rPr>
          <w:color w:val="auto"/>
          <w:sz w:val="22"/>
          <w:szCs w:val="22"/>
          <w:lang w:eastAsia="en-US"/>
        </w:rPr>
      </w:pPr>
      <w:r w:rsidRPr="00BB3B4A">
        <w:rPr>
          <w:color w:val="auto"/>
          <w:sz w:val="22"/>
          <w:szCs w:val="22"/>
          <w:lang w:eastAsia="en-US"/>
        </w:rPr>
        <w:t>Prazo de pagamento</w:t>
      </w:r>
    </w:p>
    <w:p w:rsidR="00FA217D" w:rsidRPr="00BB3B4A" w:rsidRDefault="00FA217D" w:rsidP="00332E5D">
      <w:pPr>
        <w:pStyle w:val="Nivel2"/>
        <w:spacing w:afterLines="120" w:line="312" w:lineRule="auto"/>
        <w:ind w:firstLine="709"/>
        <w:rPr>
          <w:sz w:val="22"/>
          <w:szCs w:val="22"/>
        </w:rPr>
      </w:pPr>
      <w:r w:rsidRPr="00BB3B4A">
        <w:rPr>
          <w:sz w:val="22"/>
          <w:szCs w:val="22"/>
        </w:rPr>
        <w:t xml:space="preserve">O pagamento será efetuado no </w:t>
      </w:r>
      <w:r w:rsidR="00CB4ECB" w:rsidRPr="00BB3B4A">
        <w:rPr>
          <w:b/>
          <w:sz w:val="22"/>
          <w:szCs w:val="22"/>
          <w:u w:val="single"/>
        </w:rPr>
        <w:t>prazo de até 60(SESSENTA</w:t>
      </w:r>
      <w:r w:rsidRPr="00BB3B4A">
        <w:rPr>
          <w:b/>
          <w:sz w:val="22"/>
          <w:szCs w:val="22"/>
          <w:u w:val="single"/>
        </w:rPr>
        <w:t>) dias</w:t>
      </w:r>
      <w:r w:rsidRPr="00BB3B4A">
        <w:rPr>
          <w:sz w:val="22"/>
          <w:szCs w:val="22"/>
        </w:rPr>
        <w:t xml:space="preserve"> contados d</w:t>
      </w:r>
      <w:r w:rsidR="00CB4ECB" w:rsidRPr="00BB3B4A">
        <w:rPr>
          <w:sz w:val="22"/>
          <w:szCs w:val="22"/>
        </w:rPr>
        <w:t>a liquidação.</w:t>
      </w:r>
    </w:p>
    <w:p w:rsidR="00FA217D" w:rsidRPr="00BB3B4A" w:rsidRDefault="00FA217D" w:rsidP="00332E5D">
      <w:pPr>
        <w:pStyle w:val="Nivel2"/>
        <w:spacing w:afterLines="120" w:line="312" w:lineRule="auto"/>
        <w:ind w:firstLine="709"/>
        <w:rPr>
          <w:sz w:val="22"/>
          <w:szCs w:val="22"/>
          <w:lang w:eastAsia="en-US"/>
        </w:rPr>
      </w:pPr>
      <w:r w:rsidRPr="00BB3B4A">
        <w:rPr>
          <w:sz w:val="22"/>
          <w:szCs w:val="22"/>
          <w:lang w:eastAsia="en-US"/>
        </w:rPr>
        <w:t xml:space="preserve">No caso de atraso pelo Contratante, os valores devidos ao contratado serão atualizados monetariamente entre o termo final do prazo de pagamento até a data de sua efetiva realização, mediante aplicação do índice </w:t>
      </w:r>
      <w:r w:rsidRPr="00BB3B4A">
        <w:rPr>
          <w:b/>
          <w:iCs/>
          <w:color w:val="000000" w:themeColor="text1"/>
          <w:sz w:val="22"/>
          <w:szCs w:val="22"/>
          <w:lang w:eastAsia="en-US"/>
        </w:rPr>
        <w:t>IPCA-E</w:t>
      </w:r>
      <w:r w:rsidRPr="00BB3B4A">
        <w:rPr>
          <w:sz w:val="22"/>
          <w:szCs w:val="22"/>
          <w:lang w:eastAsia="en-US"/>
        </w:rPr>
        <w:t>de correção monetária.</w:t>
      </w:r>
    </w:p>
    <w:p w:rsidR="00FA217D" w:rsidRPr="00BB3B4A" w:rsidRDefault="00FA217D" w:rsidP="00332E5D">
      <w:pPr>
        <w:pStyle w:val="Nvel1-SemNum"/>
        <w:spacing w:before="120" w:afterLines="120" w:line="312" w:lineRule="auto"/>
        <w:rPr>
          <w:color w:val="auto"/>
          <w:sz w:val="22"/>
          <w:szCs w:val="22"/>
          <w:lang w:eastAsia="en-US"/>
        </w:rPr>
      </w:pPr>
      <w:r w:rsidRPr="00BB3B4A">
        <w:rPr>
          <w:color w:val="auto"/>
          <w:sz w:val="22"/>
          <w:szCs w:val="22"/>
          <w:lang w:eastAsia="en-US"/>
        </w:rPr>
        <w:t>Forma de pagamento</w:t>
      </w:r>
    </w:p>
    <w:p w:rsidR="00FA217D" w:rsidRPr="00BB3B4A" w:rsidRDefault="00FA217D" w:rsidP="00332E5D">
      <w:pPr>
        <w:pStyle w:val="Nivel2"/>
        <w:spacing w:afterLines="120" w:line="312" w:lineRule="auto"/>
        <w:ind w:firstLine="709"/>
        <w:rPr>
          <w:sz w:val="22"/>
          <w:szCs w:val="22"/>
          <w:lang w:eastAsia="en-US"/>
        </w:rPr>
      </w:pPr>
      <w:r w:rsidRPr="00BB3B4A">
        <w:rPr>
          <w:sz w:val="22"/>
          <w:szCs w:val="22"/>
          <w:lang w:eastAsia="en-US"/>
        </w:rPr>
        <w:t>O pagamento será realizado por meio de ordem bancária, para crédito em banco, agência e conta corrente indicados pelo contratado.</w:t>
      </w:r>
    </w:p>
    <w:p w:rsidR="00FA217D" w:rsidRPr="00BB3B4A" w:rsidRDefault="00FA217D" w:rsidP="00332E5D">
      <w:pPr>
        <w:pStyle w:val="Nivel2"/>
        <w:spacing w:afterLines="120" w:line="312" w:lineRule="auto"/>
        <w:ind w:firstLine="709"/>
        <w:rPr>
          <w:sz w:val="22"/>
          <w:szCs w:val="22"/>
          <w:lang w:eastAsia="en-US"/>
        </w:rPr>
      </w:pPr>
      <w:r w:rsidRPr="00BB3B4A">
        <w:rPr>
          <w:sz w:val="22"/>
          <w:szCs w:val="22"/>
          <w:lang w:eastAsia="en-US"/>
        </w:rPr>
        <w:lastRenderedPageBreak/>
        <w:t>Será considerada data do pagamento o dia em que constar como emitida a ordem bancária para pagamento.</w:t>
      </w:r>
    </w:p>
    <w:p w:rsidR="00FA217D" w:rsidRPr="00BB3B4A" w:rsidRDefault="00FA217D" w:rsidP="00332E5D">
      <w:pPr>
        <w:pStyle w:val="Nivel2"/>
        <w:spacing w:afterLines="120" w:line="312" w:lineRule="auto"/>
        <w:ind w:firstLine="709"/>
        <w:rPr>
          <w:sz w:val="22"/>
          <w:szCs w:val="22"/>
          <w:lang w:eastAsia="en-US"/>
        </w:rPr>
      </w:pPr>
      <w:r w:rsidRPr="00BB3B4A">
        <w:rPr>
          <w:sz w:val="22"/>
          <w:szCs w:val="22"/>
          <w:lang w:eastAsia="en-US"/>
        </w:rPr>
        <w:t>Quando do pagamento, será efetuada a retenção tributária prevista na legislação aplicável.</w:t>
      </w:r>
    </w:p>
    <w:p w:rsidR="00FA217D" w:rsidRPr="00BB3B4A" w:rsidRDefault="00FA217D" w:rsidP="00332E5D">
      <w:pPr>
        <w:pStyle w:val="Nivel3"/>
        <w:spacing w:afterLines="120" w:line="312" w:lineRule="auto"/>
        <w:ind w:left="170" w:firstLine="709"/>
        <w:rPr>
          <w:sz w:val="22"/>
          <w:szCs w:val="22"/>
          <w:lang w:eastAsia="en-US"/>
        </w:rPr>
      </w:pPr>
      <w:r w:rsidRPr="00BB3B4A">
        <w:rPr>
          <w:sz w:val="22"/>
          <w:szCs w:val="22"/>
          <w:lang w:eastAsia="en-US"/>
        </w:rPr>
        <w:t>Independentemente do percentual de tributo inserido na planilha, quando houver, serão retidos na fonte, quando da realização do pagamento, os percentuais estabelecidos na legislação vigente.</w:t>
      </w:r>
    </w:p>
    <w:p w:rsidR="00FA217D" w:rsidRPr="00BB3B4A" w:rsidRDefault="00FA217D" w:rsidP="00332E5D">
      <w:pPr>
        <w:pStyle w:val="Nivel2"/>
        <w:spacing w:afterLines="120" w:line="312" w:lineRule="auto"/>
        <w:ind w:firstLine="709"/>
        <w:rPr>
          <w:sz w:val="22"/>
          <w:szCs w:val="22"/>
          <w:lang w:eastAsia="en-US"/>
        </w:rPr>
      </w:pPr>
      <w:r w:rsidRPr="00BB3B4A">
        <w:rPr>
          <w:sz w:val="22"/>
          <w:szCs w:val="22"/>
          <w:lang w:eastAsia="en-US"/>
        </w:rPr>
        <w:t xml:space="preserve">O contratado regularmente optante pelo Simples Nacional, nos termos da </w:t>
      </w:r>
      <w:hyperlink r:id="rId27" w:history="1">
        <w:r w:rsidRPr="00BB3B4A">
          <w:rPr>
            <w:rStyle w:val="Hyperlink"/>
            <w:sz w:val="22"/>
            <w:szCs w:val="22"/>
            <w:lang w:eastAsia="en-US"/>
          </w:rPr>
          <w:t>Lei Complementar nº 123, de 2006</w:t>
        </w:r>
      </w:hyperlink>
      <w:r w:rsidRPr="00BB3B4A">
        <w:rPr>
          <w:sz w:val="22"/>
          <w:szCs w:val="22"/>
          <w:lang w:eastAsia="en-US"/>
        </w:rPr>
        <w:t>,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rsidR="00FA217D" w:rsidRPr="00BB3B4A" w:rsidRDefault="00FA217D" w:rsidP="00332E5D">
      <w:pPr>
        <w:pStyle w:val="Nivel01"/>
        <w:spacing w:before="120" w:afterLines="120" w:line="312" w:lineRule="auto"/>
        <w:ind w:left="357" w:hanging="357"/>
        <w:rPr>
          <w:sz w:val="22"/>
          <w:szCs w:val="22"/>
        </w:rPr>
      </w:pPr>
      <w:r w:rsidRPr="00BB3B4A">
        <w:rPr>
          <w:sz w:val="22"/>
          <w:szCs w:val="22"/>
        </w:rPr>
        <w:t>FORMA E CRITÉRIOS DE SELEÇÃO DO FORNECEDOR</w:t>
      </w:r>
    </w:p>
    <w:p w:rsidR="00FA217D" w:rsidRPr="00BB3B4A" w:rsidRDefault="00FA217D" w:rsidP="00332E5D">
      <w:pPr>
        <w:pStyle w:val="Nvel1-SemNum"/>
        <w:spacing w:before="120" w:afterLines="120" w:line="312" w:lineRule="auto"/>
        <w:rPr>
          <w:color w:val="000000" w:themeColor="text1"/>
          <w:sz w:val="22"/>
          <w:szCs w:val="22"/>
          <w:highlight w:val="yellow"/>
        </w:rPr>
      </w:pPr>
      <w:r w:rsidRPr="00BB3B4A">
        <w:rPr>
          <w:color w:val="000000" w:themeColor="text1"/>
          <w:sz w:val="22"/>
          <w:szCs w:val="22"/>
          <w:lang w:eastAsia="en-US"/>
        </w:rPr>
        <w:t>Forma de seleção e critério de julgamento da proposta</w:t>
      </w:r>
    </w:p>
    <w:p w:rsidR="00FA217D" w:rsidRPr="00BB3B4A" w:rsidRDefault="00FA217D" w:rsidP="00332E5D">
      <w:pPr>
        <w:pStyle w:val="Nivel2"/>
        <w:spacing w:afterLines="120" w:line="312" w:lineRule="auto"/>
        <w:ind w:firstLine="709"/>
        <w:rPr>
          <w:color w:val="000000" w:themeColor="text1"/>
          <w:sz w:val="22"/>
          <w:szCs w:val="22"/>
        </w:rPr>
      </w:pPr>
      <w:r w:rsidRPr="00BB3B4A">
        <w:rPr>
          <w:rFonts w:eastAsia="Arial"/>
          <w:color w:val="000000" w:themeColor="text1"/>
          <w:sz w:val="22"/>
          <w:szCs w:val="22"/>
        </w:rPr>
        <w:t xml:space="preserve">O fornecedor será selecionado por meio da realização </w:t>
      </w:r>
      <w:r w:rsidR="00BB3B4A" w:rsidRPr="00BB3B4A">
        <w:rPr>
          <w:rFonts w:eastAsia="Arial"/>
          <w:color w:val="000000" w:themeColor="text1"/>
          <w:sz w:val="22"/>
          <w:szCs w:val="22"/>
        </w:rPr>
        <w:t xml:space="preserve">de procedimento de DISPENSA de </w:t>
      </w:r>
      <w:r w:rsidRPr="00BB3B4A">
        <w:rPr>
          <w:rFonts w:eastAsia="Arial"/>
          <w:color w:val="000000" w:themeColor="text1"/>
          <w:sz w:val="22"/>
          <w:szCs w:val="22"/>
        </w:rPr>
        <w:t>LICITAÇÃO, n</w:t>
      </w:r>
      <w:r w:rsidR="00BB3B4A" w:rsidRPr="00BB3B4A">
        <w:rPr>
          <w:rFonts w:eastAsia="Arial"/>
          <w:color w:val="000000" w:themeColor="text1"/>
          <w:sz w:val="22"/>
          <w:szCs w:val="22"/>
        </w:rPr>
        <w:t>a modalidade sob a forma FISÍCA</w:t>
      </w:r>
      <w:r w:rsidRPr="00BB3B4A">
        <w:rPr>
          <w:rFonts w:eastAsia="Arial"/>
          <w:color w:val="000000" w:themeColor="text1"/>
          <w:sz w:val="22"/>
          <w:szCs w:val="22"/>
        </w:rPr>
        <w:t>, com adoção do critério de julgamento pelo MENOR PREÇO.</w:t>
      </w:r>
    </w:p>
    <w:p w:rsidR="00FA217D" w:rsidRPr="00BB3B4A" w:rsidRDefault="00FA217D" w:rsidP="00332E5D">
      <w:pPr>
        <w:pStyle w:val="Nvel1-SemNum"/>
        <w:spacing w:before="120" w:afterLines="120" w:line="312" w:lineRule="auto"/>
        <w:rPr>
          <w:color w:val="auto"/>
          <w:sz w:val="22"/>
          <w:szCs w:val="22"/>
        </w:rPr>
      </w:pPr>
      <w:commentRangeStart w:id="13"/>
      <w:r w:rsidRPr="00BB3B4A">
        <w:rPr>
          <w:color w:val="auto"/>
          <w:sz w:val="22"/>
          <w:szCs w:val="22"/>
          <w:lang w:eastAsia="en-US"/>
        </w:rPr>
        <w:t>Exigências de habilitação</w:t>
      </w:r>
      <w:commentRangeEnd w:id="13"/>
      <w:r w:rsidRPr="00BB3B4A">
        <w:rPr>
          <w:rStyle w:val="Refdecomentrio"/>
          <w:rFonts w:eastAsiaTheme="minorEastAsia"/>
          <w:b w:val="0"/>
          <w:bCs w:val="0"/>
          <w:color w:val="auto"/>
          <w:sz w:val="22"/>
          <w:szCs w:val="22"/>
        </w:rPr>
        <w:commentReference w:id="13"/>
      </w:r>
    </w:p>
    <w:p w:rsidR="00FA217D" w:rsidRPr="00BB3B4A" w:rsidRDefault="00FA217D" w:rsidP="00332E5D">
      <w:pPr>
        <w:pStyle w:val="Nivel2"/>
        <w:spacing w:afterLines="120" w:line="312" w:lineRule="auto"/>
        <w:ind w:firstLine="709"/>
        <w:rPr>
          <w:sz w:val="22"/>
          <w:szCs w:val="22"/>
        </w:rPr>
      </w:pPr>
      <w:r w:rsidRPr="00BB3B4A">
        <w:rPr>
          <w:sz w:val="22"/>
          <w:szCs w:val="22"/>
        </w:rPr>
        <w:t>Para fins de habilitação, deverá o licitante comprovar os seguintes requisitos:</w:t>
      </w:r>
    </w:p>
    <w:p w:rsidR="00FA217D" w:rsidRPr="00BB3B4A" w:rsidRDefault="00FA217D" w:rsidP="00332E5D">
      <w:pPr>
        <w:pStyle w:val="Nvel1-SemNum"/>
        <w:spacing w:before="120" w:afterLines="120" w:line="312" w:lineRule="auto"/>
        <w:rPr>
          <w:color w:val="auto"/>
          <w:sz w:val="22"/>
          <w:szCs w:val="22"/>
          <w:lang w:eastAsia="zh-CN" w:bidi="hi-IN"/>
        </w:rPr>
      </w:pPr>
      <w:r w:rsidRPr="00BB3B4A">
        <w:rPr>
          <w:color w:val="auto"/>
          <w:sz w:val="22"/>
          <w:szCs w:val="22"/>
          <w:lang w:eastAsia="zh-CN" w:bidi="hi-IN"/>
        </w:rPr>
        <w:t>Habilitação jurídica</w:t>
      </w:r>
    </w:p>
    <w:p w:rsidR="00FA217D" w:rsidRPr="00BB3B4A" w:rsidRDefault="00FA217D" w:rsidP="00332E5D">
      <w:pPr>
        <w:pStyle w:val="Nivel2"/>
        <w:spacing w:afterLines="120" w:line="312" w:lineRule="auto"/>
        <w:ind w:firstLine="709"/>
        <w:rPr>
          <w:sz w:val="22"/>
          <w:szCs w:val="22"/>
        </w:rPr>
      </w:pPr>
      <w:r w:rsidRPr="00BB3B4A">
        <w:rPr>
          <w:b/>
          <w:bCs/>
          <w:sz w:val="22"/>
          <w:szCs w:val="22"/>
        </w:rPr>
        <w:t>Empresário individual:</w:t>
      </w:r>
      <w:r w:rsidRPr="00BB3B4A">
        <w:rPr>
          <w:sz w:val="22"/>
          <w:szCs w:val="22"/>
        </w:rPr>
        <w:t xml:space="preserve"> inscrição no Registro Público de Empresas Mercantis, a cargo da Junta Comercial da respectiva sede; </w:t>
      </w:r>
    </w:p>
    <w:p w:rsidR="00FA217D" w:rsidRPr="00BB3B4A" w:rsidRDefault="00FA217D" w:rsidP="00332E5D">
      <w:pPr>
        <w:pStyle w:val="Nivel2"/>
        <w:spacing w:afterLines="120" w:line="312" w:lineRule="auto"/>
        <w:ind w:firstLine="709"/>
        <w:rPr>
          <w:sz w:val="22"/>
          <w:szCs w:val="22"/>
        </w:rPr>
      </w:pPr>
      <w:r w:rsidRPr="00BB3B4A">
        <w:rPr>
          <w:b/>
          <w:bCs/>
          <w:sz w:val="22"/>
          <w:szCs w:val="22"/>
        </w:rPr>
        <w:t>Microempreendedor Individual - MEI:</w:t>
      </w:r>
      <w:r w:rsidRPr="00BB3B4A">
        <w:rPr>
          <w:sz w:val="22"/>
          <w:szCs w:val="22"/>
        </w:rPr>
        <w:t xml:space="preserve"> Certificado da Condição de Microempreendedor Individual - CCMEI, cuja aceitação ficará condicionada à verificação da autenticidade no sítio </w:t>
      </w:r>
      <w:hyperlink r:id="rId28" w:history="1">
        <w:r w:rsidRPr="00BB3B4A">
          <w:rPr>
            <w:rStyle w:val="Hyperlink"/>
            <w:sz w:val="22"/>
            <w:szCs w:val="22"/>
          </w:rPr>
          <w:t>https://www.gov.br/empresas-e-negocios/pt-br/empreendedor</w:t>
        </w:r>
      </w:hyperlink>
      <w:r w:rsidRPr="00BB3B4A">
        <w:rPr>
          <w:sz w:val="22"/>
          <w:szCs w:val="22"/>
        </w:rPr>
        <w:t xml:space="preserve">; </w:t>
      </w:r>
    </w:p>
    <w:p w:rsidR="00FA217D" w:rsidRPr="00BB3B4A" w:rsidRDefault="00FA217D" w:rsidP="00332E5D">
      <w:pPr>
        <w:pStyle w:val="Nivel2"/>
        <w:spacing w:afterLines="120" w:line="312" w:lineRule="auto"/>
        <w:ind w:firstLine="709"/>
        <w:rPr>
          <w:sz w:val="22"/>
          <w:szCs w:val="22"/>
        </w:rPr>
      </w:pPr>
      <w:r w:rsidRPr="00BB3B4A">
        <w:rPr>
          <w:b/>
          <w:bCs/>
          <w:sz w:val="22"/>
          <w:szCs w:val="22"/>
        </w:rPr>
        <w:t>Sociedade empresária, sociedade limitada unipessoal – SLU ou sociedade identificada como empresa individual de responsabilidade limitada - EIRELI:</w:t>
      </w:r>
      <w:r w:rsidRPr="00BB3B4A">
        <w:rPr>
          <w:sz w:val="22"/>
          <w:szCs w:val="22"/>
        </w:rPr>
        <w:t xml:space="preserve"> inscrição do ato constitutivo, estatuto ou contrato social no Registro Público </w:t>
      </w:r>
      <w:r w:rsidRPr="00BB3B4A">
        <w:rPr>
          <w:sz w:val="22"/>
          <w:szCs w:val="22"/>
        </w:rPr>
        <w:lastRenderedPageBreak/>
        <w:t>de Empresas Mercantis, a cargo da Junta Comercial da respectiva sede, acompanhada de documento comprobatório de seus administradores;</w:t>
      </w:r>
    </w:p>
    <w:p w:rsidR="00FA217D" w:rsidRPr="00BB3B4A" w:rsidRDefault="00FA217D" w:rsidP="00332E5D">
      <w:pPr>
        <w:pStyle w:val="Nivel2"/>
        <w:spacing w:afterLines="120" w:line="312" w:lineRule="auto"/>
        <w:ind w:firstLine="709"/>
        <w:rPr>
          <w:sz w:val="22"/>
          <w:szCs w:val="22"/>
        </w:rPr>
      </w:pPr>
      <w:r w:rsidRPr="00BB3B4A">
        <w:rPr>
          <w:b/>
          <w:bCs/>
          <w:sz w:val="22"/>
          <w:szCs w:val="22"/>
        </w:rPr>
        <w:t>Sociedade empresária estrangeira:</w:t>
      </w:r>
      <w:r w:rsidRPr="00BB3B4A">
        <w:rPr>
          <w:sz w:val="22"/>
          <w:szCs w:val="22"/>
        </w:rPr>
        <w:t xml:space="preserve"> portaria de autorização de funcionamento no Brasil, publicada no Diário Oficial da União e arquivada na Junta Comercial da unidade federativa onde se localizar a filial, agência, sucursal ou estabelecimento, a qual será considerada como sua sede, conforme Instrução </w:t>
      </w:r>
      <w:hyperlink r:id="rId29" w:history="1">
        <w:r w:rsidRPr="00BB3B4A">
          <w:rPr>
            <w:rStyle w:val="Hyperlink"/>
            <w:sz w:val="22"/>
            <w:szCs w:val="22"/>
          </w:rPr>
          <w:t>Normativa DREI/ME n.º 77, de 18 de março de 2020</w:t>
        </w:r>
      </w:hyperlink>
      <w:r w:rsidRPr="00BB3B4A">
        <w:rPr>
          <w:sz w:val="22"/>
          <w:szCs w:val="22"/>
        </w:rPr>
        <w:t>.</w:t>
      </w:r>
    </w:p>
    <w:p w:rsidR="00FA217D" w:rsidRPr="00BB3B4A" w:rsidRDefault="00FA217D" w:rsidP="00332E5D">
      <w:pPr>
        <w:pStyle w:val="Nivel2"/>
        <w:spacing w:afterLines="120" w:line="312" w:lineRule="auto"/>
        <w:ind w:firstLine="709"/>
        <w:rPr>
          <w:sz w:val="22"/>
          <w:szCs w:val="22"/>
        </w:rPr>
      </w:pPr>
      <w:r w:rsidRPr="00BB3B4A">
        <w:rPr>
          <w:b/>
          <w:bCs/>
          <w:sz w:val="22"/>
          <w:szCs w:val="22"/>
        </w:rPr>
        <w:t xml:space="preserve">Sociedade simples: </w:t>
      </w:r>
      <w:r w:rsidRPr="00BB3B4A">
        <w:rPr>
          <w:sz w:val="22"/>
          <w:szCs w:val="22"/>
        </w:rPr>
        <w:t>inscrição do ato constitutivo no Registro Civil de Pessoas Jurídicas do local de sua sede, acompanhada de documento comprobatório de seus administradores;</w:t>
      </w:r>
    </w:p>
    <w:p w:rsidR="00FA217D" w:rsidRPr="00BB3B4A" w:rsidRDefault="00FA217D" w:rsidP="00332E5D">
      <w:pPr>
        <w:pStyle w:val="Nivel2"/>
        <w:spacing w:afterLines="120" w:line="312" w:lineRule="auto"/>
        <w:ind w:firstLine="709"/>
        <w:rPr>
          <w:sz w:val="22"/>
          <w:szCs w:val="22"/>
        </w:rPr>
      </w:pPr>
      <w:r w:rsidRPr="00BB3B4A">
        <w:rPr>
          <w:b/>
          <w:bCs/>
          <w:sz w:val="22"/>
          <w:szCs w:val="22"/>
        </w:rPr>
        <w:t>Filial, sucursal ou agência de sociedade simples ou empresária:</w:t>
      </w:r>
      <w:r w:rsidRPr="00BB3B4A">
        <w:rPr>
          <w:sz w:val="22"/>
          <w:szCs w:val="22"/>
        </w:rPr>
        <w:t xml:space="preserve"> inscrição do ato constitutivo da filial, sucursal ou agência da sociedade simples ou empresária, respectivamente, no Registro Civil das Pessoas Jurídicas ou no Registro Público de Empresas </w:t>
      </w:r>
      <w:bookmarkStart w:id="14" w:name="_Int_ySfCXwr4"/>
      <w:r w:rsidRPr="00BB3B4A">
        <w:rPr>
          <w:sz w:val="22"/>
          <w:szCs w:val="22"/>
        </w:rPr>
        <w:t>Mercantis onde</w:t>
      </w:r>
      <w:bookmarkEnd w:id="14"/>
      <w:r w:rsidRPr="00BB3B4A">
        <w:rPr>
          <w:sz w:val="22"/>
          <w:szCs w:val="22"/>
        </w:rPr>
        <w:t xml:space="preserve"> opera, com averbação no Registro onde tem sede a matriz</w:t>
      </w:r>
    </w:p>
    <w:p w:rsidR="00FA217D" w:rsidRPr="00BB3B4A" w:rsidRDefault="00FA217D" w:rsidP="00332E5D">
      <w:pPr>
        <w:pStyle w:val="Nivel2"/>
        <w:spacing w:afterLines="120" w:line="312" w:lineRule="auto"/>
        <w:ind w:firstLine="709"/>
        <w:rPr>
          <w:sz w:val="22"/>
          <w:szCs w:val="22"/>
        </w:rPr>
      </w:pPr>
      <w:r w:rsidRPr="00BB3B4A">
        <w:rPr>
          <w:b/>
          <w:bCs/>
          <w:sz w:val="22"/>
          <w:szCs w:val="22"/>
        </w:rPr>
        <w:t>Sociedade cooperativa:</w:t>
      </w:r>
      <w:r w:rsidRPr="00BB3B4A">
        <w:rPr>
          <w:sz w:val="22"/>
          <w:szCs w:val="22"/>
        </w:rPr>
        <w:t xml:space="preserve"> ata de fundação e estatuto social, com a ata da assembleia que o aprovou, devidamente arquivado na Junta Comercial ou inscrito no Registro Civil das Pessoas Jurídicas da respectiva sede, além do registro de que trata o </w:t>
      </w:r>
      <w:hyperlink r:id="rId30" w:anchor="art107" w:history="1">
        <w:r w:rsidRPr="00BB3B4A">
          <w:rPr>
            <w:rStyle w:val="Hyperlink"/>
            <w:sz w:val="22"/>
            <w:szCs w:val="22"/>
          </w:rPr>
          <w:t>art. 107 da Lei nº 5.764, de 16 de dezembro 1971</w:t>
        </w:r>
      </w:hyperlink>
      <w:r w:rsidRPr="00BB3B4A">
        <w:rPr>
          <w:sz w:val="22"/>
          <w:szCs w:val="22"/>
        </w:rPr>
        <w:t>.</w:t>
      </w:r>
    </w:p>
    <w:p w:rsidR="00FA217D" w:rsidRPr="00BB3B4A" w:rsidRDefault="00FA217D" w:rsidP="00332E5D">
      <w:pPr>
        <w:pStyle w:val="Nivel2"/>
        <w:spacing w:afterLines="120" w:line="312" w:lineRule="auto"/>
        <w:ind w:firstLine="709"/>
        <w:rPr>
          <w:sz w:val="22"/>
          <w:szCs w:val="22"/>
        </w:rPr>
      </w:pPr>
      <w:r w:rsidRPr="00BB3B4A">
        <w:rPr>
          <w:b/>
          <w:bCs/>
          <w:sz w:val="22"/>
          <w:szCs w:val="22"/>
        </w:rPr>
        <w:t>Agricultor familiar:</w:t>
      </w:r>
      <w:r w:rsidRPr="00BB3B4A">
        <w:rPr>
          <w:sz w:val="22"/>
          <w:szCs w:val="22"/>
        </w:rPr>
        <w:t xml:space="preserve"> Declaração de Aptidão ao Pronaf – DAP ou DAP-P válida, ou, ainda, outros documentos definidos pela Secretaria Especial de Agricultura Familiar e do Desenvolvimento Agrário, nos termos do</w:t>
      </w:r>
      <w:hyperlink r:id="rId31" w:anchor="art4§2" w:history="1">
        <w:r w:rsidRPr="00BB3B4A">
          <w:rPr>
            <w:rStyle w:val="Hyperlink"/>
            <w:sz w:val="22"/>
            <w:szCs w:val="22"/>
          </w:rPr>
          <w:t xml:space="preserve"> art. 4º, §2º do Decreto nº 10.880, de 2 de dezembro de 2021</w:t>
        </w:r>
      </w:hyperlink>
      <w:r w:rsidRPr="00BB3B4A">
        <w:rPr>
          <w:sz w:val="22"/>
          <w:szCs w:val="22"/>
        </w:rPr>
        <w:t>.</w:t>
      </w:r>
    </w:p>
    <w:p w:rsidR="00FA217D" w:rsidRPr="00BB3B4A" w:rsidRDefault="00FA217D" w:rsidP="00332E5D">
      <w:pPr>
        <w:pStyle w:val="Nivel2"/>
        <w:spacing w:afterLines="120" w:line="312" w:lineRule="auto"/>
        <w:ind w:firstLine="709"/>
        <w:rPr>
          <w:sz w:val="22"/>
          <w:szCs w:val="22"/>
        </w:rPr>
      </w:pPr>
      <w:r w:rsidRPr="00BB3B4A">
        <w:rPr>
          <w:b/>
          <w:bCs/>
          <w:sz w:val="22"/>
          <w:szCs w:val="22"/>
        </w:rPr>
        <w:t>Produtor Rural:</w:t>
      </w:r>
      <w:r w:rsidRPr="00BB3B4A">
        <w:rPr>
          <w:sz w:val="22"/>
          <w:szCs w:val="22"/>
        </w:rPr>
        <w:t xml:space="preserve"> matrícula no Cadastro Específico do INSS – CEI, que comprove a qualificação como produtor rural pessoa física, nos termos da </w:t>
      </w:r>
      <w:hyperlink r:id="rId32" w:history="1">
        <w:r w:rsidRPr="00BB3B4A">
          <w:rPr>
            <w:rStyle w:val="Hyperlink"/>
            <w:sz w:val="22"/>
            <w:szCs w:val="22"/>
          </w:rPr>
          <w:t>Instrução Normativa RFB n. 971, de 13 de novembro de 2009</w:t>
        </w:r>
      </w:hyperlink>
      <w:r w:rsidRPr="00BB3B4A">
        <w:rPr>
          <w:sz w:val="22"/>
          <w:szCs w:val="22"/>
        </w:rPr>
        <w:t xml:space="preserve"> (arts. 17 a 19 e 165).</w:t>
      </w:r>
    </w:p>
    <w:p w:rsidR="00FA217D" w:rsidRPr="00BB3B4A" w:rsidRDefault="00FA217D" w:rsidP="00332E5D">
      <w:pPr>
        <w:pStyle w:val="Nivel2"/>
        <w:spacing w:afterLines="120" w:line="312" w:lineRule="auto"/>
        <w:ind w:firstLine="709"/>
        <w:rPr>
          <w:sz w:val="22"/>
          <w:szCs w:val="22"/>
        </w:rPr>
      </w:pPr>
      <w:r w:rsidRPr="00BB3B4A">
        <w:rPr>
          <w:sz w:val="22"/>
          <w:szCs w:val="22"/>
        </w:rPr>
        <w:t>Os documentos apresentados deverão estar acompanhados de todas as alterações ou da consolidação respectiva.</w:t>
      </w:r>
    </w:p>
    <w:p w:rsidR="00FA217D" w:rsidRPr="00BB3B4A" w:rsidRDefault="00FA217D" w:rsidP="00332E5D">
      <w:pPr>
        <w:pStyle w:val="Nvel1-SemNum"/>
        <w:spacing w:before="120" w:afterLines="120" w:line="312" w:lineRule="auto"/>
        <w:rPr>
          <w:color w:val="auto"/>
          <w:sz w:val="22"/>
          <w:szCs w:val="22"/>
          <w:lang w:eastAsia="zh-CN" w:bidi="hi-IN"/>
        </w:rPr>
      </w:pPr>
      <w:r w:rsidRPr="00BB3B4A">
        <w:rPr>
          <w:color w:val="auto"/>
          <w:sz w:val="22"/>
          <w:szCs w:val="22"/>
          <w:lang w:eastAsia="zh-CN" w:bidi="hi-IN"/>
        </w:rPr>
        <w:t>Habilitação fiscal, social e trabalhista</w:t>
      </w:r>
    </w:p>
    <w:p w:rsidR="00FA217D" w:rsidRPr="00BB3B4A" w:rsidRDefault="00FA217D" w:rsidP="00332E5D">
      <w:pPr>
        <w:pStyle w:val="Nivel2"/>
        <w:numPr>
          <w:ilvl w:val="1"/>
          <w:numId w:val="5"/>
        </w:numPr>
        <w:spacing w:afterLines="120" w:line="312" w:lineRule="auto"/>
        <w:rPr>
          <w:sz w:val="22"/>
          <w:szCs w:val="22"/>
        </w:rPr>
      </w:pPr>
      <w:r w:rsidRPr="00BB3B4A">
        <w:rPr>
          <w:sz w:val="22"/>
          <w:szCs w:val="22"/>
        </w:rPr>
        <w:t>Prova de inscrição no Cadastro Nacional de Pessoas Jurídicas;</w:t>
      </w:r>
    </w:p>
    <w:p w:rsidR="00FA217D" w:rsidRPr="00BB3B4A" w:rsidRDefault="00FA217D" w:rsidP="00332E5D">
      <w:pPr>
        <w:pStyle w:val="Nivel2"/>
        <w:spacing w:afterLines="120" w:line="312" w:lineRule="auto"/>
        <w:ind w:firstLine="709"/>
        <w:rPr>
          <w:sz w:val="22"/>
          <w:szCs w:val="22"/>
        </w:rPr>
      </w:pPr>
      <w:r w:rsidRPr="00BB3B4A">
        <w:rPr>
          <w:sz w:val="22"/>
          <w:szCs w:val="22"/>
        </w:rPr>
        <w:t xml:space="preserve">Prova de regularidade fiscal perante a Fazenda Nacional, mediante apresentação de certidão expedida conjuntamente pela Secretaria da Receita Federal do Brasil (RFB) e pela Procuradoria-Geral da Fazenda Nacional (PGFN), referente a </w:t>
      </w:r>
      <w:r w:rsidRPr="00BB3B4A">
        <w:rPr>
          <w:sz w:val="22"/>
          <w:szCs w:val="22"/>
        </w:rPr>
        <w:lastRenderedPageBreak/>
        <w:t>todos os créditos tributários federais e à Dívida Ativa da União (DAU) por elas administrados, inclusive aqueles relativos à Seguridade Social, nos termos da Portaria Conjunta nº 1.751, de 02 de outubro de 2014, do Secretário da Receita Federal do Brasil e da Procuradora-Geral da Fazenda Nacional.</w:t>
      </w:r>
    </w:p>
    <w:p w:rsidR="00FA217D" w:rsidRPr="00BB3B4A" w:rsidRDefault="00FA217D" w:rsidP="00332E5D">
      <w:pPr>
        <w:pStyle w:val="Nivel2"/>
        <w:spacing w:afterLines="120" w:line="312" w:lineRule="auto"/>
        <w:ind w:firstLine="709"/>
        <w:rPr>
          <w:sz w:val="22"/>
          <w:szCs w:val="22"/>
        </w:rPr>
      </w:pPr>
      <w:r w:rsidRPr="00BB3B4A">
        <w:rPr>
          <w:sz w:val="22"/>
          <w:szCs w:val="22"/>
        </w:rPr>
        <w:t>Prova de regularidade com o Fundo de Garantia do Tempo de Serviço (FGTS);</w:t>
      </w:r>
    </w:p>
    <w:p w:rsidR="00FA217D" w:rsidRPr="00BB3B4A" w:rsidRDefault="00FA217D" w:rsidP="00332E5D">
      <w:pPr>
        <w:pStyle w:val="Nivel2"/>
        <w:spacing w:afterLines="120" w:line="312" w:lineRule="auto"/>
        <w:ind w:firstLine="709"/>
        <w:rPr>
          <w:sz w:val="22"/>
          <w:szCs w:val="22"/>
        </w:rPr>
      </w:pPr>
      <w:r w:rsidRPr="00BB3B4A">
        <w:rPr>
          <w:sz w:val="22"/>
          <w:szCs w:val="22"/>
        </w:rPr>
        <w:t>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w:t>
      </w:r>
    </w:p>
    <w:p w:rsidR="00FA217D" w:rsidRPr="00BB3B4A" w:rsidRDefault="00FA217D" w:rsidP="00332E5D">
      <w:pPr>
        <w:pStyle w:val="Nivel2"/>
        <w:spacing w:afterLines="120" w:line="312" w:lineRule="auto"/>
        <w:ind w:firstLine="709"/>
        <w:rPr>
          <w:sz w:val="22"/>
          <w:szCs w:val="22"/>
        </w:rPr>
      </w:pPr>
      <w:r w:rsidRPr="00BB3B4A">
        <w:rPr>
          <w:sz w:val="22"/>
          <w:szCs w:val="22"/>
        </w:rPr>
        <w:t xml:space="preserve">Prova de inscrição no cadastro de contribuintes Estadual </w:t>
      </w:r>
      <w:r w:rsidRPr="00BB3B4A">
        <w:rPr>
          <w:iCs/>
          <w:color w:val="000000" w:themeColor="text1"/>
          <w:sz w:val="22"/>
          <w:szCs w:val="22"/>
        </w:rPr>
        <w:t xml:space="preserve">ou Municipal </w:t>
      </w:r>
      <w:r w:rsidRPr="00BB3B4A">
        <w:rPr>
          <w:color w:val="000000" w:themeColor="text1"/>
          <w:sz w:val="22"/>
          <w:szCs w:val="22"/>
        </w:rPr>
        <w:t>relativo</w:t>
      </w:r>
      <w:r w:rsidRPr="00BB3B4A">
        <w:rPr>
          <w:sz w:val="22"/>
          <w:szCs w:val="22"/>
        </w:rPr>
        <w:t xml:space="preserve"> ao domicílio ou sede do fornecedor, pertinente ao seu ramo de atividade e compatível com o objeto contratual; </w:t>
      </w:r>
    </w:p>
    <w:p w:rsidR="00FA217D" w:rsidRPr="00BB3B4A" w:rsidRDefault="00FA217D" w:rsidP="00332E5D">
      <w:pPr>
        <w:pStyle w:val="Nivel2"/>
        <w:spacing w:afterLines="120" w:line="312" w:lineRule="auto"/>
        <w:ind w:firstLine="709"/>
        <w:rPr>
          <w:sz w:val="22"/>
          <w:szCs w:val="22"/>
        </w:rPr>
      </w:pPr>
      <w:r w:rsidRPr="00BB3B4A">
        <w:rPr>
          <w:sz w:val="22"/>
          <w:szCs w:val="22"/>
        </w:rPr>
        <w:t xml:space="preserve">Prova de regularidade com a Fazenda </w:t>
      </w:r>
      <w:r w:rsidRPr="00BB3B4A">
        <w:rPr>
          <w:iCs/>
          <w:color w:val="000000" w:themeColor="text1"/>
          <w:sz w:val="22"/>
          <w:szCs w:val="22"/>
        </w:rPr>
        <w:t xml:space="preserve">Estadual ou Municipal </w:t>
      </w:r>
      <w:r w:rsidRPr="00BB3B4A">
        <w:rPr>
          <w:sz w:val="22"/>
          <w:szCs w:val="22"/>
        </w:rPr>
        <w:t>do domicílio ou sede do fornecedor, relativa à atividade em cujo exercício contrata ou concorre;</w:t>
      </w:r>
    </w:p>
    <w:p w:rsidR="00FA217D" w:rsidRPr="00BB3B4A" w:rsidRDefault="00FA217D" w:rsidP="00332E5D">
      <w:pPr>
        <w:pStyle w:val="Nivel2"/>
        <w:spacing w:afterLines="120" w:line="312" w:lineRule="auto"/>
        <w:ind w:firstLine="709"/>
        <w:rPr>
          <w:sz w:val="22"/>
          <w:szCs w:val="22"/>
        </w:rPr>
      </w:pPr>
      <w:r w:rsidRPr="00BB3B4A">
        <w:rPr>
          <w:sz w:val="22"/>
          <w:szCs w:val="22"/>
        </w:rPr>
        <w:t xml:space="preserve">Caso o fornecedor seja considerado isento dos tributos </w:t>
      </w:r>
      <w:r w:rsidRPr="00BB3B4A">
        <w:rPr>
          <w:iCs/>
          <w:color w:val="000000" w:themeColor="text1"/>
          <w:sz w:val="22"/>
          <w:szCs w:val="22"/>
        </w:rPr>
        <w:t xml:space="preserve">estaduais ou municipais </w:t>
      </w:r>
      <w:r w:rsidRPr="00BB3B4A">
        <w:rPr>
          <w:sz w:val="22"/>
          <w:szCs w:val="22"/>
        </w:rPr>
        <w:t>relacionados ao objeto contratual, deverá comprovar tal condição mediante a apresentação de declaração da Fazenda respectiva do seu domicílio ou sede, ou outra equivalente, na forma da lei.</w:t>
      </w:r>
    </w:p>
    <w:p w:rsidR="00FA217D" w:rsidRPr="00BB3B4A" w:rsidRDefault="00FA217D" w:rsidP="00332E5D">
      <w:pPr>
        <w:pStyle w:val="Nivel2"/>
        <w:spacing w:afterLines="120" w:line="312" w:lineRule="auto"/>
        <w:ind w:firstLine="709"/>
        <w:rPr>
          <w:sz w:val="22"/>
          <w:szCs w:val="22"/>
        </w:rPr>
      </w:pPr>
      <w:r w:rsidRPr="00BB3B4A">
        <w:rPr>
          <w:sz w:val="22"/>
          <w:szCs w:val="22"/>
        </w:rPr>
        <w:t>O fornecedor enquadrado como microempreendedor individual que pretenda auferir os benefícios do tratamento diferenciado previstos na Lei Complementar n. 123, de 2006, estará dispensado da prova de inscrição nos cadastros de contribuintes estadual e municipal.</w:t>
      </w:r>
    </w:p>
    <w:p w:rsidR="00FA217D" w:rsidRPr="00BB3B4A" w:rsidRDefault="00FA217D" w:rsidP="00332E5D">
      <w:pPr>
        <w:pStyle w:val="Nivel2"/>
        <w:spacing w:afterLines="120" w:line="312" w:lineRule="auto"/>
        <w:ind w:firstLine="709"/>
        <w:rPr>
          <w:sz w:val="22"/>
          <w:szCs w:val="22"/>
        </w:rPr>
      </w:pPr>
      <w:r w:rsidRPr="00BB3B4A">
        <w:rPr>
          <w:iCs/>
          <w:sz w:val="22"/>
          <w:szCs w:val="22"/>
        </w:rPr>
        <w:t>Sobre o item 6.20: A apresentação do Certificado de Condição de Microempreendedor Individual – CCMEI supre as exigências de inscrição nos cadastros fiscais, na medida em que essas informações constam no próprio Certificado.</w:t>
      </w:r>
    </w:p>
    <w:p w:rsidR="00FA217D" w:rsidRPr="00BB3B4A" w:rsidRDefault="00FA217D" w:rsidP="00332E5D">
      <w:pPr>
        <w:pStyle w:val="Nvel1-SemNum"/>
        <w:spacing w:before="120" w:afterLines="120" w:line="312" w:lineRule="auto"/>
        <w:rPr>
          <w:color w:val="auto"/>
          <w:sz w:val="22"/>
          <w:szCs w:val="22"/>
          <w:lang w:eastAsia="zh-CN" w:bidi="hi-IN"/>
        </w:rPr>
      </w:pPr>
      <w:commentRangeStart w:id="15"/>
      <w:r w:rsidRPr="00BB3B4A">
        <w:rPr>
          <w:color w:val="auto"/>
          <w:sz w:val="22"/>
          <w:szCs w:val="22"/>
          <w:lang w:eastAsia="zh-CN" w:bidi="hi-IN"/>
        </w:rPr>
        <w:t>Qualificação Econômico-Financeira</w:t>
      </w:r>
      <w:commentRangeEnd w:id="15"/>
      <w:r w:rsidRPr="00BB3B4A">
        <w:rPr>
          <w:rStyle w:val="Refdecomentrio"/>
          <w:rFonts w:eastAsiaTheme="minorEastAsia"/>
          <w:b w:val="0"/>
          <w:bCs w:val="0"/>
          <w:color w:val="auto"/>
          <w:sz w:val="22"/>
          <w:szCs w:val="22"/>
        </w:rPr>
        <w:commentReference w:id="15"/>
      </w:r>
    </w:p>
    <w:p w:rsidR="00FA217D" w:rsidRPr="00BB3B4A" w:rsidRDefault="00FA217D" w:rsidP="00332E5D">
      <w:pPr>
        <w:pStyle w:val="Nivel2"/>
        <w:spacing w:afterLines="120" w:line="312" w:lineRule="auto"/>
        <w:ind w:firstLine="709"/>
        <w:rPr>
          <w:sz w:val="22"/>
          <w:szCs w:val="22"/>
        </w:rPr>
      </w:pPr>
      <w:r w:rsidRPr="00BB3B4A">
        <w:rPr>
          <w:sz w:val="22"/>
          <w:szCs w:val="22"/>
        </w:rPr>
        <w:t xml:space="preserve">Certidão negativa de falência expedida pelo distribuidor da sede do fornecedor - </w:t>
      </w:r>
      <w:hyperlink r:id="rId33" w:anchor="art69" w:history="1">
        <w:r w:rsidRPr="00BB3B4A">
          <w:rPr>
            <w:rStyle w:val="Hyperlink"/>
            <w:sz w:val="22"/>
            <w:szCs w:val="22"/>
          </w:rPr>
          <w:t>Lei nº 14.133, de 2021, art. 69, caput, inciso II</w:t>
        </w:r>
      </w:hyperlink>
      <w:r w:rsidRPr="00BB3B4A">
        <w:rPr>
          <w:sz w:val="22"/>
          <w:szCs w:val="22"/>
        </w:rPr>
        <w:t>);</w:t>
      </w:r>
    </w:p>
    <w:p w:rsidR="00FA217D" w:rsidRPr="00BB3B4A" w:rsidRDefault="00FA217D" w:rsidP="00332E5D">
      <w:pPr>
        <w:pStyle w:val="Nivel2"/>
        <w:spacing w:afterLines="120" w:line="312" w:lineRule="auto"/>
        <w:ind w:firstLine="709"/>
        <w:rPr>
          <w:sz w:val="22"/>
          <w:szCs w:val="22"/>
        </w:rPr>
      </w:pPr>
      <w:r w:rsidRPr="00BB3B4A">
        <w:rPr>
          <w:sz w:val="22"/>
          <w:szCs w:val="22"/>
        </w:rPr>
        <w:t>Caso admitida a participação de cooperativas, será exigida a seguinte documentação complementa</w:t>
      </w:r>
      <w:r w:rsidRPr="00BB3B4A">
        <w:rPr>
          <w:color w:val="auto"/>
          <w:sz w:val="22"/>
          <w:szCs w:val="22"/>
        </w:rPr>
        <w:t>r</w:t>
      </w:r>
      <w:r w:rsidRPr="00BB3B4A">
        <w:rPr>
          <w:sz w:val="22"/>
          <w:szCs w:val="22"/>
        </w:rPr>
        <w:t>:</w:t>
      </w:r>
    </w:p>
    <w:p w:rsidR="00FA217D" w:rsidRPr="00BB3B4A" w:rsidRDefault="00FA217D" w:rsidP="00332E5D">
      <w:pPr>
        <w:pStyle w:val="Nivel3"/>
        <w:spacing w:afterLines="120" w:line="312" w:lineRule="auto"/>
        <w:ind w:left="170" w:firstLine="709"/>
        <w:rPr>
          <w:sz w:val="22"/>
          <w:szCs w:val="22"/>
        </w:rPr>
      </w:pPr>
      <w:r w:rsidRPr="00BB3B4A">
        <w:rPr>
          <w:sz w:val="22"/>
          <w:szCs w:val="22"/>
        </w:rPr>
        <w:lastRenderedPageBreak/>
        <w:t xml:space="preserve">A relação dos cooperados que atendem aos requisitos técnicos exigidos para a contratação e que executarão o contrato, com as respectivas atas de inscrição e a comprovação de que estão domiciliados na localidade da sede da cooperativa, respeitado o disposto nos </w:t>
      </w:r>
      <w:hyperlink r:id="rId34" w:anchor="art4" w:history="1">
        <w:r w:rsidRPr="00BB3B4A">
          <w:rPr>
            <w:rStyle w:val="Hyperlink"/>
            <w:sz w:val="22"/>
            <w:szCs w:val="22"/>
          </w:rPr>
          <w:t>arts. 4º, inciso XI, 21, inciso I</w:t>
        </w:r>
      </w:hyperlink>
      <w:r w:rsidRPr="00BB3B4A">
        <w:rPr>
          <w:sz w:val="22"/>
          <w:szCs w:val="22"/>
        </w:rPr>
        <w:t xml:space="preserve"> e </w:t>
      </w:r>
      <w:hyperlink r:id="rId35" w:anchor="art42" w:history="1">
        <w:r w:rsidRPr="00BB3B4A">
          <w:rPr>
            <w:rStyle w:val="Hyperlink"/>
            <w:sz w:val="22"/>
            <w:szCs w:val="22"/>
          </w:rPr>
          <w:t>42, §§2º a 6º da Lei n. 5.764, de 1971</w:t>
        </w:r>
      </w:hyperlink>
      <w:r w:rsidRPr="00BB3B4A">
        <w:rPr>
          <w:sz w:val="22"/>
          <w:szCs w:val="22"/>
        </w:rPr>
        <w:t>;</w:t>
      </w:r>
    </w:p>
    <w:p w:rsidR="00FA217D" w:rsidRPr="00BB3B4A" w:rsidRDefault="00FA217D" w:rsidP="00332E5D">
      <w:pPr>
        <w:pStyle w:val="Nivel3"/>
        <w:spacing w:afterLines="120" w:line="312" w:lineRule="auto"/>
        <w:ind w:left="170" w:firstLine="709"/>
        <w:rPr>
          <w:sz w:val="22"/>
          <w:szCs w:val="22"/>
        </w:rPr>
      </w:pPr>
      <w:r w:rsidRPr="00BB3B4A">
        <w:rPr>
          <w:sz w:val="22"/>
          <w:szCs w:val="22"/>
        </w:rPr>
        <w:t>A declaração de regularidade de situação do contribuinte individual – DRSCI, para cada um dos cooperados indicados;</w:t>
      </w:r>
    </w:p>
    <w:p w:rsidR="00FA217D" w:rsidRPr="00BB3B4A" w:rsidRDefault="00FA217D" w:rsidP="00332E5D">
      <w:pPr>
        <w:pStyle w:val="Nivel3"/>
        <w:spacing w:afterLines="120" w:line="312" w:lineRule="auto"/>
        <w:ind w:left="170" w:firstLine="709"/>
        <w:rPr>
          <w:sz w:val="22"/>
          <w:szCs w:val="22"/>
        </w:rPr>
      </w:pPr>
      <w:r w:rsidRPr="00BB3B4A">
        <w:rPr>
          <w:sz w:val="22"/>
          <w:szCs w:val="22"/>
        </w:rPr>
        <w:t xml:space="preserve">A comprovação do capital social proporcional ao número de cooperados necessários à prestação do serviço; </w:t>
      </w:r>
    </w:p>
    <w:p w:rsidR="00FA217D" w:rsidRPr="00BB3B4A" w:rsidRDefault="00FA217D" w:rsidP="00332E5D">
      <w:pPr>
        <w:pStyle w:val="Nivel3"/>
        <w:spacing w:afterLines="120" w:line="312" w:lineRule="auto"/>
        <w:ind w:left="170" w:firstLine="709"/>
        <w:rPr>
          <w:sz w:val="22"/>
          <w:szCs w:val="22"/>
        </w:rPr>
      </w:pPr>
      <w:r w:rsidRPr="00BB3B4A">
        <w:rPr>
          <w:sz w:val="22"/>
          <w:szCs w:val="22"/>
        </w:rPr>
        <w:t xml:space="preserve">O registro previsto na </w:t>
      </w:r>
      <w:hyperlink r:id="rId36" w:anchor="art107" w:history="1">
        <w:r w:rsidRPr="00BB3B4A">
          <w:rPr>
            <w:rStyle w:val="Hyperlink"/>
            <w:sz w:val="22"/>
            <w:szCs w:val="22"/>
          </w:rPr>
          <w:t>Lei n. 5.764, de 1971, art. 107</w:t>
        </w:r>
      </w:hyperlink>
      <w:r w:rsidRPr="00BB3B4A">
        <w:rPr>
          <w:sz w:val="22"/>
          <w:szCs w:val="22"/>
        </w:rPr>
        <w:t>;</w:t>
      </w:r>
    </w:p>
    <w:p w:rsidR="00FA217D" w:rsidRPr="00BB3B4A" w:rsidRDefault="00FA217D" w:rsidP="00332E5D">
      <w:pPr>
        <w:pStyle w:val="Nivel3"/>
        <w:spacing w:afterLines="120" w:line="312" w:lineRule="auto"/>
        <w:ind w:left="170" w:firstLine="709"/>
        <w:rPr>
          <w:sz w:val="22"/>
          <w:szCs w:val="22"/>
        </w:rPr>
      </w:pPr>
      <w:r w:rsidRPr="00BB3B4A">
        <w:rPr>
          <w:sz w:val="22"/>
          <w:szCs w:val="22"/>
        </w:rPr>
        <w:t xml:space="preserve"> A comprovação de integração das respectivas quotas-partes por parte dos cooperados que executarão o contrato; e</w:t>
      </w:r>
    </w:p>
    <w:p w:rsidR="00FA217D" w:rsidRPr="00BB3B4A" w:rsidRDefault="00FA217D" w:rsidP="00332E5D">
      <w:pPr>
        <w:pStyle w:val="Nivel3"/>
        <w:spacing w:afterLines="120" w:line="312" w:lineRule="auto"/>
        <w:ind w:left="170" w:firstLine="709"/>
        <w:rPr>
          <w:sz w:val="22"/>
          <w:szCs w:val="22"/>
        </w:rPr>
      </w:pPr>
      <w:r w:rsidRPr="00BB3B4A">
        <w:rPr>
          <w:sz w:val="22"/>
          <w:szCs w:val="22"/>
        </w:rPr>
        <w:t xml:space="preserve"> Os seguintes documentos para a comprovação da regularidade jurídica da cooperativa: a) ata de fundação; b) estatuto social com a ata da assembléia que o aprovou; c) regimento dos fundos instituídos pelos cooperados, com a ata da assembléia; d) editais de convocação das três últimas assembléias gerais extraordinárias; e) três registros de presença dos cooperados que executarão o contrato em assembléias gerais ou nas reuniões seccionais; e f) ata da sessão que os cooperados autorizaram a cooperativa a contratar o objeto da licitação;</w:t>
      </w:r>
    </w:p>
    <w:p w:rsidR="00FA217D" w:rsidRPr="00BB3B4A" w:rsidRDefault="00FA217D" w:rsidP="00332E5D">
      <w:pPr>
        <w:pStyle w:val="Nivel3"/>
        <w:spacing w:afterLines="120" w:line="312" w:lineRule="auto"/>
        <w:ind w:left="170" w:firstLine="709"/>
        <w:rPr>
          <w:sz w:val="22"/>
          <w:szCs w:val="22"/>
        </w:rPr>
      </w:pPr>
      <w:r w:rsidRPr="00BB3B4A">
        <w:rPr>
          <w:sz w:val="22"/>
          <w:szCs w:val="22"/>
        </w:rPr>
        <w:t xml:space="preserve">A última auditoria contábil-financeira da cooperativa, conforme dispõe o </w:t>
      </w:r>
      <w:hyperlink r:id="rId37" w:anchor="art112" w:history="1">
        <w:r w:rsidRPr="00BB3B4A">
          <w:rPr>
            <w:rStyle w:val="Hyperlink"/>
            <w:sz w:val="22"/>
            <w:szCs w:val="22"/>
          </w:rPr>
          <w:t>art. 112 da Lei n. 5.764, de 1971</w:t>
        </w:r>
      </w:hyperlink>
      <w:r w:rsidRPr="00BB3B4A">
        <w:rPr>
          <w:sz w:val="22"/>
          <w:szCs w:val="22"/>
        </w:rPr>
        <w:t>, ou uma declaração, sob as penas da lei, de que tal auditoria não foi exigida pelo órgão fiscalizador.</w:t>
      </w:r>
    </w:p>
    <w:p w:rsidR="00FA217D" w:rsidRPr="00BB3B4A" w:rsidRDefault="00FA217D" w:rsidP="00332E5D">
      <w:pPr>
        <w:pStyle w:val="Nivel01"/>
        <w:spacing w:before="120" w:afterLines="120" w:line="312" w:lineRule="auto"/>
        <w:rPr>
          <w:sz w:val="22"/>
          <w:szCs w:val="22"/>
        </w:rPr>
      </w:pPr>
      <w:commentRangeStart w:id="16"/>
      <w:r w:rsidRPr="00BB3B4A">
        <w:rPr>
          <w:sz w:val="22"/>
          <w:szCs w:val="22"/>
        </w:rPr>
        <w:t>ESTIMATIVAS DO VALOR DA CONTRATAÇÃO</w:t>
      </w:r>
      <w:commentRangeEnd w:id="16"/>
      <w:r w:rsidRPr="00BB3B4A">
        <w:rPr>
          <w:rStyle w:val="Refdecomentrio"/>
          <w:rFonts w:eastAsiaTheme="minorEastAsia"/>
          <w:b w:val="0"/>
          <w:bCs w:val="0"/>
          <w:sz w:val="22"/>
          <w:szCs w:val="22"/>
        </w:rPr>
        <w:commentReference w:id="16"/>
      </w:r>
    </w:p>
    <w:p w:rsidR="00FA217D" w:rsidRPr="00BB3B4A" w:rsidRDefault="00FA217D" w:rsidP="00FA217D">
      <w:pPr>
        <w:pStyle w:val="NormalWeb"/>
        <w:rPr>
          <w:rFonts w:ascii="Arial" w:hAnsi="Arial" w:cs="Arial"/>
          <w:sz w:val="22"/>
          <w:szCs w:val="22"/>
        </w:rPr>
      </w:pPr>
      <w:r w:rsidRPr="00BB3B4A">
        <w:rPr>
          <w:rFonts w:ascii="Arial" w:hAnsi="Arial" w:cs="Arial"/>
          <w:sz w:val="22"/>
          <w:szCs w:val="22"/>
        </w:rPr>
        <w:t>O custo estimado total da contratação é de R$</w:t>
      </w:r>
      <w:r w:rsidR="00CF6628" w:rsidRPr="00BB3B4A">
        <w:rPr>
          <w:rFonts w:ascii="Arial" w:hAnsi="Arial" w:cs="Arial"/>
          <w:bCs/>
          <w:color w:val="000000" w:themeColor="text1"/>
          <w:sz w:val="22"/>
          <w:szCs w:val="22"/>
        </w:rPr>
        <w:t xml:space="preserve"> </w:t>
      </w:r>
      <w:r w:rsidR="00332E5D">
        <w:rPr>
          <w:rFonts w:ascii="Arial" w:hAnsi="Arial" w:cs="Arial"/>
          <w:bCs/>
          <w:color w:val="000000" w:themeColor="text1"/>
          <w:sz w:val="22"/>
          <w:szCs w:val="22"/>
        </w:rPr>
        <w:t>38.901,00</w:t>
      </w:r>
      <w:r w:rsidRPr="00BB3B4A">
        <w:rPr>
          <w:rFonts w:ascii="Arial" w:hAnsi="Arial" w:cs="Arial"/>
          <w:sz w:val="22"/>
          <w:szCs w:val="22"/>
        </w:rPr>
        <w:t xml:space="preserve"> (</w:t>
      </w:r>
      <w:r w:rsidR="00332E5D">
        <w:rPr>
          <w:rStyle w:val="Forte"/>
          <w:rFonts w:eastAsiaTheme="majorEastAsia"/>
        </w:rPr>
        <w:t>trinta e oito mil, novecentos e um reais</w:t>
      </w:r>
      <w:r w:rsidRPr="00BB3B4A">
        <w:rPr>
          <w:rFonts w:ascii="Arial" w:hAnsi="Arial" w:cs="Arial"/>
          <w:sz w:val="22"/>
          <w:szCs w:val="22"/>
        </w:rPr>
        <w:t>), conforme custos unitários apostos na tabela acima.</w:t>
      </w:r>
    </w:p>
    <w:p w:rsidR="00FA217D" w:rsidRPr="00BB3B4A" w:rsidRDefault="00FA217D" w:rsidP="00FA217D">
      <w:pPr>
        <w:pStyle w:val="Nivel2"/>
        <w:numPr>
          <w:ilvl w:val="0"/>
          <w:numId w:val="0"/>
        </w:numPr>
        <w:spacing w:before="0" w:after="0" w:line="240" w:lineRule="auto"/>
        <w:ind w:left="709"/>
        <w:rPr>
          <w:rFonts w:eastAsia="Arial"/>
          <w:sz w:val="22"/>
          <w:szCs w:val="22"/>
        </w:rPr>
      </w:pPr>
      <w:r w:rsidRPr="00BB3B4A">
        <w:rPr>
          <w:sz w:val="22"/>
          <w:szCs w:val="22"/>
        </w:rPr>
        <w:t>ADEQUAÇÃO O</w:t>
      </w:r>
      <w:r w:rsidRPr="00BB3B4A">
        <w:rPr>
          <w:rFonts w:eastAsia="Arial"/>
          <w:sz w:val="22"/>
          <w:szCs w:val="22"/>
        </w:rPr>
        <w:t xml:space="preserve"> CONTA: </w:t>
      </w:r>
      <w:r w:rsidR="00C2606A">
        <w:rPr>
          <w:rFonts w:eastAsia="Arial"/>
          <w:sz w:val="22"/>
          <w:szCs w:val="22"/>
        </w:rPr>
        <w:t>62955</w:t>
      </w:r>
    </w:p>
    <w:p w:rsidR="00FA217D" w:rsidRPr="00BB3B4A" w:rsidRDefault="00FA217D" w:rsidP="00FA217D">
      <w:pPr>
        <w:pStyle w:val="Nivel2"/>
        <w:numPr>
          <w:ilvl w:val="0"/>
          <w:numId w:val="0"/>
        </w:numPr>
        <w:spacing w:before="0" w:after="0" w:line="240" w:lineRule="auto"/>
        <w:ind w:left="709"/>
        <w:rPr>
          <w:rFonts w:eastAsia="Arial"/>
          <w:sz w:val="22"/>
          <w:szCs w:val="22"/>
        </w:rPr>
      </w:pPr>
    </w:p>
    <w:p w:rsidR="00FA217D" w:rsidRDefault="00FA217D" w:rsidP="00FA217D">
      <w:pPr>
        <w:pStyle w:val="Nivel2"/>
        <w:numPr>
          <w:ilvl w:val="0"/>
          <w:numId w:val="0"/>
        </w:numPr>
        <w:spacing w:before="0" w:after="0" w:line="240" w:lineRule="auto"/>
        <w:ind w:left="709"/>
        <w:rPr>
          <w:rFonts w:eastAsia="Arial"/>
          <w:sz w:val="22"/>
          <w:szCs w:val="22"/>
        </w:rPr>
      </w:pPr>
      <w:r w:rsidRPr="00BB3B4A">
        <w:rPr>
          <w:rFonts w:eastAsia="Arial"/>
          <w:sz w:val="22"/>
          <w:szCs w:val="22"/>
        </w:rPr>
        <w:t>PROJETO/ATIVIDADE:</w:t>
      </w:r>
      <w:r w:rsidR="00530431" w:rsidRPr="00BB3B4A">
        <w:rPr>
          <w:rFonts w:eastAsia="Arial"/>
          <w:sz w:val="22"/>
          <w:szCs w:val="22"/>
        </w:rPr>
        <w:t xml:space="preserve"> </w:t>
      </w:r>
      <w:r w:rsidR="00A37E5A">
        <w:rPr>
          <w:rFonts w:eastAsia="Arial"/>
          <w:sz w:val="22"/>
          <w:szCs w:val="22"/>
        </w:rPr>
        <w:t>2378000</w:t>
      </w:r>
    </w:p>
    <w:p w:rsidR="00C2606A" w:rsidRPr="00BB3B4A" w:rsidRDefault="00C2606A" w:rsidP="00FA217D">
      <w:pPr>
        <w:pStyle w:val="Nivel2"/>
        <w:numPr>
          <w:ilvl w:val="0"/>
          <w:numId w:val="0"/>
        </w:numPr>
        <w:spacing w:before="0" w:after="0" w:line="240" w:lineRule="auto"/>
        <w:ind w:left="709"/>
        <w:rPr>
          <w:rFonts w:eastAsia="Arial"/>
          <w:sz w:val="22"/>
          <w:szCs w:val="22"/>
        </w:rPr>
      </w:pPr>
    </w:p>
    <w:p w:rsidR="00FA217D" w:rsidRPr="00BB3B4A" w:rsidRDefault="00530431" w:rsidP="00FA217D">
      <w:pPr>
        <w:jc w:val="both"/>
        <w:rPr>
          <w:rFonts w:ascii="Arial" w:eastAsia="Times New Roman" w:hAnsi="Arial" w:cs="Arial"/>
          <w:color w:val="000000"/>
          <w:sz w:val="22"/>
          <w:szCs w:val="22"/>
          <w:lang w:eastAsia="pt-BR"/>
        </w:rPr>
      </w:pPr>
      <w:r w:rsidRPr="00BB3B4A">
        <w:rPr>
          <w:rFonts w:ascii="Arial" w:eastAsia="Arial" w:hAnsi="Arial" w:cs="Arial"/>
          <w:sz w:val="22"/>
          <w:szCs w:val="22"/>
        </w:rPr>
        <w:t xml:space="preserve">            </w:t>
      </w:r>
      <w:r w:rsidR="00FA217D" w:rsidRPr="00BB3B4A">
        <w:rPr>
          <w:rFonts w:ascii="Arial" w:eastAsia="Arial" w:hAnsi="Arial" w:cs="Arial"/>
          <w:sz w:val="22"/>
          <w:szCs w:val="22"/>
        </w:rPr>
        <w:t>NATUREZA DA DESPESA</w:t>
      </w:r>
      <w:r w:rsidR="00BB3B4A" w:rsidRPr="00BB3B4A">
        <w:rPr>
          <w:rFonts w:ascii="Arial" w:eastAsia="Arial" w:hAnsi="Arial" w:cs="Arial"/>
          <w:sz w:val="22"/>
          <w:szCs w:val="22"/>
        </w:rPr>
        <w:t>: 3.3.90.30.00.00.00</w:t>
      </w:r>
    </w:p>
    <w:p w:rsidR="00FA217D" w:rsidRPr="00BB3B4A" w:rsidRDefault="00530431" w:rsidP="00FA217D">
      <w:pPr>
        <w:jc w:val="both"/>
        <w:rPr>
          <w:rFonts w:ascii="Arial" w:eastAsia="Arial" w:hAnsi="Arial" w:cs="Arial"/>
          <w:sz w:val="22"/>
          <w:szCs w:val="22"/>
        </w:rPr>
      </w:pPr>
      <w:r w:rsidRPr="00BB3B4A">
        <w:rPr>
          <w:rFonts w:ascii="Arial" w:eastAsia="Times New Roman" w:hAnsi="Arial" w:cs="Arial"/>
          <w:color w:val="000000"/>
          <w:sz w:val="22"/>
          <w:szCs w:val="22"/>
          <w:lang w:eastAsia="pt-BR"/>
        </w:rPr>
        <w:t xml:space="preserve">           </w:t>
      </w:r>
      <w:r w:rsidR="00FA217D" w:rsidRPr="00BB3B4A">
        <w:rPr>
          <w:rFonts w:ascii="Arial" w:eastAsia="Times New Roman" w:hAnsi="Arial" w:cs="Arial"/>
          <w:color w:val="000000"/>
          <w:sz w:val="22"/>
          <w:szCs w:val="22"/>
          <w:lang w:eastAsia="pt-BR"/>
        </w:rPr>
        <w:t xml:space="preserve"> </w:t>
      </w:r>
      <w:r w:rsidR="00FA217D" w:rsidRPr="00BB3B4A">
        <w:rPr>
          <w:rFonts w:ascii="Arial" w:eastAsia="Arial" w:hAnsi="Arial" w:cs="Arial"/>
          <w:sz w:val="22"/>
          <w:szCs w:val="22"/>
        </w:rPr>
        <w:t>FONTE DE RECURSOS</w:t>
      </w:r>
      <w:r w:rsidR="00BB3B4A" w:rsidRPr="00BB3B4A">
        <w:rPr>
          <w:rFonts w:ascii="Arial" w:eastAsia="Arial" w:hAnsi="Arial" w:cs="Arial"/>
          <w:sz w:val="22"/>
          <w:szCs w:val="22"/>
        </w:rPr>
        <w:t>: 1500</w:t>
      </w:r>
    </w:p>
    <w:p w:rsidR="00BB3B4A" w:rsidRPr="00BB3B4A" w:rsidRDefault="00BB3B4A" w:rsidP="00332E5D">
      <w:pPr>
        <w:pStyle w:val="Nivel01"/>
        <w:numPr>
          <w:ilvl w:val="0"/>
          <w:numId w:val="0"/>
        </w:numPr>
        <w:spacing w:before="120" w:afterLines="120" w:line="312" w:lineRule="auto"/>
        <w:ind w:left="360"/>
        <w:rPr>
          <w:sz w:val="22"/>
          <w:szCs w:val="22"/>
        </w:rPr>
      </w:pPr>
    </w:p>
    <w:p w:rsidR="00BB3B4A" w:rsidRPr="00BB3B4A" w:rsidRDefault="00BB3B4A" w:rsidP="00BB3B4A">
      <w:pPr>
        <w:rPr>
          <w:rFonts w:ascii="Arial" w:hAnsi="Arial" w:cs="Arial"/>
          <w:sz w:val="22"/>
          <w:szCs w:val="22"/>
          <w:lang w:eastAsia="pt-BR"/>
        </w:rPr>
      </w:pPr>
    </w:p>
    <w:p w:rsidR="00BB3B4A" w:rsidRPr="00BB3B4A" w:rsidRDefault="00BB3B4A" w:rsidP="00BB3B4A">
      <w:pPr>
        <w:rPr>
          <w:rFonts w:ascii="Arial" w:hAnsi="Arial" w:cs="Arial"/>
          <w:sz w:val="22"/>
          <w:szCs w:val="22"/>
          <w:lang w:eastAsia="pt-BR"/>
        </w:rPr>
      </w:pPr>
    </w:p>
    <w:p w:rsidR="00BB3B4A" w:rsidRPr="00BB3B4A" w:rsidRDefault="00BB3B4A" w:rsidP="00332E5D">
      <w:pPr>
        <w:pStyle w:val="Nivel01"/>
        <w:numPr>
          <w:ilvl w:val="0"/>
          <w:numId w:val="0"/>
        </w:numPr>
        <w:spacing w:before="120" w:afterLines="120" w:line="312" w:lineRule="auto"/>
        <w:ind w:left="360"/>
        <w:rPr>
          <w:sz w:val="22"/>
          <w:szCs w:val="22"/>
        </w:rPr>
      </w:pPr>
    </w:p>
    <w:p w:rsidR="00FA217D" w:rsidRPr="00BB3B4A" w:rsidRDefault="00FA217D" w:rsidP="00332E5D">
      <w:pPr>
        <w:pStyle w:val="Nivel01"/>
        <w:spacing w:before="120" w:afterLines="120" w:line="312" w:lineRule="auto"/>
        <w:rPr>
          <w:sz w:val="22"/>
          <w:szCs w:val="22"/>
        </w:rPr>
      </w:pPr>
      <w:r w:rsidRPr="00BB3B4A">
        <w:rPr>
          <w:sz w:val="22"/>
          <w:szCs w:val="22"/>
        </w:rPr>
        <w:t>ORÇAMENTÁRIA</w:t>
      </w:r>
    </w:p>
    <w:p w:rsidR="00FA217D" w:rsidRPr="00BB3B4A" w:rsidRDefault="00FA217D" w:rsidP="00332E5D">
      <w:pPr>
        <w:pStyle w:val="Nivel2"/>
        <w:spacing w:afterLines="120" w:line="312" w:lineRule="auto"/>
        <w:ind w:firstLine="709"/>
        <w:rPr>
          <w:sz w:val="22"/>
          <w:szCs w:val="22"/>
        </w:rPr>
      </w:pPr>
      <w:r w:rsidRPr="00BB3B4A">
        <w:rPr>
          <w:rFonts w:eastAsia="Arial"/>
          <w:sz w:val="22"/>
          <w:szCs w:val="22"/>
        </w:rPr>
        <w:t xml:space="preserve">As despesas decorrentes da presente contratação correrão à conta de recursos específicos consignados no Orçamento Geral do Município. </w:t>
      </w:r>
    </w:p>
    <w:p w:rsidR="00FA217D" w:rsidRPr="00BB3B4A" w:rsidRDefault="00FA217D" w:rsidP="00332E5D">
      <w:pPr>
        <w:pStyle w:val="Nvel2-Red"/>
        <w:spacing w:afterLines="120" w:line="312" w:lineRule="auto"/>
        <w:ind w:firstLine="709"/>
        <w:rPr>
          <w:i w:val="0"/>
          <w:color w:val="auto"/>
          <w:sz w:val="22"/>
          <w:szCs w:val="22"/>
        </w:rPr>
      </w:pPr>
      <w:r w:rsidRPr="00BB3B4A">
        <w:rPr>
          <w:i w:val="0"/>
          <w:color w:val="auto"/>
          <w:sz w:val="22"/>
          <w:szCs w:val="22"/>
        </w:rPr>
        <w:t>No caso de contratação plurianual, a dotação relativa aos exercícios financeiros subsequentes será indicada após aprovação da Lei Orçamentária respectiva e liberação dos créditos correspondentes, mediante apostilamento.</w:t>
      </w:r>
    </w:p>
    <w:bookmarkEnd w:id="0"/>
    <w:p w:rsidR="00FA217D" w:rsidRPr="00BB3B4A" w:rsidRDefault="00FA217D" w:rsidP="00332E5D">
      <w:pPr>
        <w:pStyle w:val="Nivel2"/>
        <w:numPr>
          <w:ilvl w:val="0"/>
          <w:numId w:val="0"/>
        </w:numPr>
        <w:spacing w:afterLines="120" w:line="312" w:lineRule="auto"/>
        <w:rPr>
          <w:i/>
          <w:iCs/>
          <w:color w:val="FF0000"/>
          <w:sz w:val="22"/>
          <w:szCs w:val="22"/>
        </w:rPr>
      </w:pPr>
    </w:p>
    <w:p w:rsidR="00FA217D" w:rsidRPr="00BB3B4A" w:rsidRDefault="00A37E5A" w:rsidP="00332E5D">
      <w:pPr>
        <w:pStyle w:val="Nivel2"/>
        <w:numPr>
          <w:ilvl w:val="0"/>
          <w:numId w:val="0"/>
        </w:numPr>
        <w:spacing w:afterLines="120" w:line="312" w:lineRule="auto"/>
        <w:jc w:val="right"/>
        <w:rPr>
          <w:i/>
          <w:iCs/>
          <w:color w:val="auto"/>
          <w:sz w:val="22"/>
          <w:szCs w:val="22"/>
        </w:rPr>
      </w:pPr>
      <w:r>
        <w:rPr>
          <w:iCs/>
          <w:color w:val="auto"/>
          <w:sz w:val="22"/>
          <w:szCs w:val="22"/>
        </w:rPr>
        <w:t>Rosário do Sul, 14</w:t>
      </w:r>
      <w:r w:rsidR="00CF6628" w:rsidRPr="00BB3B4A">
        <w:rPr>
          <w:iCs/>
          <w:color w:val="auto"/>
          <w:sz w:val="22"/>
          <w:szCs w:val="22"/>
        </w:rPr>
        <w:t xml:space="preserve"> de </w:t>
      </w:r>
      <w:r>
        <w:rPr>
          <w:iCs/>
          <w:color w:val="auto"/>
          <w:sz w:val="22"/>
          <w:szCs w:val="22"/>
        </w:rPr>
        <w:t>agosto</w:t>
      </w:r>
      <w:r w:rsidR="00FA217D" w:rsidRPr="00BB3B4A">
        <w:rPr>
          <w:iCs/>
          <w:color w:val="auto"/>
          <w:sz w:val="22"/>
          <w:szCs w:val="22"/>
        </w:rPr>
        <w:t xml:space="preserve"> de 202</w:t>
      </w:r>
      <w:r w:rsidR="00BB3B4A" w:rsidRPr="00BB3B4A">
        <w:rPr>
          <w:iCs/>
          <w:color w:val="auto"/>
          <w:sz w:val="22"/>
          <w:szCs w:val="22"/>
        </w:rPr>
        <w:t>6</w:t>
      </w:r>
      <w:r w:rsidR="00BB3B4A" w:rsidRPr="00BB3B4A">
        <w:rPr>
          <w:i/>
          <w:iCs/>
          <w:color w:val="auto"/>
          <w:sz w:val="22"/>
          <w:szCs w:val="22"/>
        </w:rPr>
        <w:t>.</w:t>
      </w:r>
    </w:p>
    <w:p w:rsidR="00CF6628" w:rsidRPr="00BB3B4A" w:rsidRDefault="00CF6628" w:rsidP="00FA217D">
      <w:pPr>
        <w:pStyle w:val="Nivel2"/>
        <w:numPr>
          <w:ilvl w:val="0"/>
          <w:numId w:val="0"/>
        </w:numPr>
        <w:spacing w:afterLines="50" w:line="0" w:lineRule="atLeast"/>
        <w:rPr>
          <w:i/>
          <w:iCs/>
          <w:color w:val="auto"/>
          <w:sz w:val="22"/>
          <w:szCs w:val="22"/>
        </w:rPr>
      </w:pPr>
    </w:p>
    <w:p w:rsidR="00CF6628" w:rsidRPr="00BB3B4A" w:rsidRDefault="00CF6628" w:rsidP="00FA217D">
      <w:pPr>
        <w:pStyle w:val="Nivel2"/>
        <w:numPr>
          <w:ilvl w:val="0"/>
          <w:numId w:val="0"/>
        </w:numPr>
        <w:spacing w:afterLines="50" w:line="0" w:lineRule="atLeast"/>
        <w:rPr>
          <w:i/>
          <w:iCs/>
          <w:color w:val="auto"/>
          <w:sz w:val="22"/>
          <w:szCs w:val="22"/>
        </w:rPr>
      </w:pPr>
    </w:p>
    <w:p w:rsidR="00BB3B4A" w:rsidRPr="00BB3B4A" w:rsidRDefault="00BB3B4A" w:rsidP="00FA217D">
      <w:pPr>
        <w:pStyle w:val="Nivel2"/>
        <w:numPr>
          <w:ilvl w:val="0"/>
          <w:numId w:val="0"/>
        </w:numPr>
        <w:spacing w:afterLines="50" w:line="0" w:lineRule="atLeast"/>
        <w:rPr>
          <w:i/>
          <w:iCs/>
          <w:color w:val="auto"/>
          <w:sz w:val="22"/>
          <w:szCs w:val="22"/>
        </w:rPr>
      </w:pPr>
    </w:p>
    <w:p w:rsidR="00FA217D" w:rsidRPr="00BB3B4A" w:rsidRDefault="00FA217D" w:rsidP="00332E5D">
      <w:pPr>
        <w:spacing w:before="120" w:afterLines="50" w:line="0" w:lineRule="atLeast"/>
        <w:ind w:left="357"/>
        <w:jc w:val="center"/>
        <w:rPr>
          <w:rFonts w:ascii="Arial" w:eastAsia="Arial" w:hAnsi="Arial" w:cs="Arial"/>
          <w:b/>
          <w:sz w:val="22"/>
          <w:szCs w:val="22"/>
        </w:rPr>
      </w:pPr>
      <w:r w:rsidRPr="00BB3B4A">
        <w:rPr>
          <w:rFonts w:ascii="Arial" w:eastAsia="Arial" w:hAnsi="Arial" w:cs="Arial"/>
          <w:b/>
          <w:sz w:val="22"/>
          <w:szCs w:val="22"/>
        </w:rPr>
        <w:t>VILNER SOUZA</w:t>
      </w:r>
    </w:p>
    <w:p w:rsidR="00FA217D" w:rsidRPr="00BB3B4A" w:rsidRDefault="00FA217D" w:rsidP="00332E5D">
      <w:pPr>
        <w:spacing w:before="120" w:afterLines="50" w:line="0" w:lineRule="atLeast"/>
        <w:ind w:left="357"/>
        <w:jc w:val="center"/>
        <w:rPr>
          <w:rFonts w:ascii="Arial" w:hAnsi="Arial" w:cs="Arial"/>
          <w:b/>
          <w:sz w:val="22"/>
          <w:szCs w:val="22"/>
        </w:rPr>
      </w:pPr>
      <w:r w:rsidRPr="00BB3B4A">
        <w:rPr>
          <w:rFonts w:ascii="Arial" w:eastAsia="Arial" w:hAnsi="Arial" w:cs="Arial"/>
          <w:b/>
          <w:sz w:val="22"/>
          <w:szCs w:val="22"/>
        </w:rPr>
        <w:t>DEPARTAMENTOS DE COMPRAS E PATRIMÔNIO</w:t>
      </w:r>
    </w:p>
    <w:p w:rsidR="00FA217D" w:rsidRPr="00D42B93" w:rsidRDefault="00FA217D" w:rsidP="00FA217D">
      <w:pPr>
        <w:pStyle w:val="Corpodetexto"/>
        <w:spacing w:line="480" w:lineRule="auto"/>
        <w:ind w:left="13"/>
        <w:jc w:val="both"/>
        <w:rPr>
          <w:sz w:val="20"/>
          <w:szCs w:val="20"/>
        </w:rPr>
      </w:pPr>
    </w:p>
    <w:p w:rsidR="00AA0672" w:rsidRDefault="00AA0672"/>
    <w:sectPr w:rsidR="00AA0672" w:rsidSect="0002546F">
      <w:headerReference w:type="default" r:id="rId38"/>
      <w:footerReference w:type="default" r:id="rId39"/>
      <w:pgSz w:w="11906" w:h="16838"/>
      <w:pgMar w:top="1417" w:right="1701" w:bottom="1417" w:left="1701" w:header="708" w:footer="708" w:gutter="0"/>
      <w:cols w:space="708"/>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1" w:author="Cliente" w:date="2025-10-13T11:23:00Z" w:initials="C">
    <w:p w:rsidR="00FA217D" w:rsidRDefault="00FA217D" w:rsidP="00FA217D">
      <w:pPr>
        <w:pStyle w:val="Textodecomentrio"/>
      </w:pPr>
      <w:r>
        <w:rPr>
          <w:rStyle w:val="Refdecomentrio"/>
        </w:rPr>
        <w:annotationRef/>
      </w:r>
      <w:r>
        <w:t xml:space="preserve">ATENÇÃO: se o valor total </w:t>
      </w:r>
      <w:r w:rsidRPr="00EF1CDE">
        <w:rPr>
          <w:b/>
          <w:u w:val="single"/>
        </w:rPr>
        <w:t>do item</w:t>
      </w:r>
      <w:r>
        <w:t xml:space="preserve"> for superior a R$80.000,00 deverá ser marcado “sim”; se inferior “não”.</w:t>
      </w:r>
    </w:p>
  </w:comment>
  <w:comment w:id="2" w:author="Autor" w:date="2025-10-13T11:23:00Z" w:initials="MM">
    <w:p w:rsidR="00FA217D" w:rsidRDefault="00FA217D" w:rsidP="00FA217D">
      <w:pPr>
        <w:pStyle w:val="Textodecomentrio"/>
      </w:pPr>
      <w:r>
        <w:rPr>
          <w:rStyle w:val="Refdecomentrio"/>
        </w:rPr>
        <w:annotationRef/>
      </w:r>
      <w:r>
        <w:rPr>
          <w:b/>
          <w:bCs/>
          <w:i/>
          <w:iCs/>
          <w:color w:val="000000"/>
        </w:rPr>
        <w:t>Nota Explicativa:</w:t>
      </w:r>
      <w:r>
        <w:rPr>
          <w:i/>
          <w:iCs/>
          <w:color w:val="000000"/>
        </w:rPr>
        <w:t xml:space="preserve"> Orientação Normativa AGU nº 54/2014: Compete ao agente ou setor técnico da administração declarar que o objeto licitatório é de natureza comum para efeito de utilização da modalidade pregão e definir se o objeto corresponde a obra ou serviço de engenharia, sendo atribuição do órgão jurídico analisar o devido enquadramento da modalidade licitatória aplicável</w:t>
      </w:r>
    </w:p>
  </w:comment>
  <w:comment w:id="3" w:author="Autor" w:date="2025-10-13T11:23:00Z" w:initials="MM">
    <w:p w:rsidR="00FA217D" w:rsidRDefault="00FA217D" w:rsidP="00FA217D">
      <w:pPr>
        <w:pStyle w:val="Textodecomentrio"/>
      </w:pPr>
      <w:r>
        <w:rPr>
          <w:rStyle w:val="Refdecomentrio"/>
        </w:rPr>
        <w:annotationRef/>
      </w:r>
      <w:r>
        <w:rPr>
          <w:b/>
          <w:bCs/>
          <w:i/>
          <w:iCs/>
          <w:color w:val="000000"/>
        </w:rPr>
        <w:t>Nota Explicativa:</w:t>
      </w:r>
      <w:r>
        <w:rPr>
          <w:i/>
          <w:iCs/>
          <w:color w:val="000000"/>
        </w:rPr>
        <w:t xml:space="preserve"> De acordo com o artigo 6º, inciso XXIII, alínea ‘c’, da Lei nº 14.133, de 2021, a fundamentação da contratação é realizada mediante “referência aos estudos técnicos preliminares (ETP) correspondentes ou, quando não for possível divulgar esses estudos, no extrato das partes que não contiverem informações sigilosas”. A Instrução Normativa SEGES/ME nº 58, de 8 de agosto de 2022, dispõe sobre a “elaboração do ETP, para a aquisição de bens e a contratação de serviços e obras no âmbito da administração pública federal direta, autárquica e fundacional, e sobre o Sistema ETP digital”. No mesmo sentido é a previsão do art. 9º, inciso II, da Instrução Normativa Seges/ME nº 81, de 2022.</w:t>
      </w:r>
    </w:p>
  </w:comment>
  <w:comment w:id="4" w:author="Autor" w:date="2025-10-13T11:23:00Z" w:initials="MM">
    <w:p w:rsidR="00FA217D" w:rsidRDefault="00FA217D" w:rsidP="00FA217D">
      <w:pPr>
        <w:pStyle w:val="Textodecomentrio"/>
      </w:pPr>
      <w:r>
        <w:rPr>
          <w:rStyle w:val="Refdecomentrio"/>
        </w:rPr>
        <w:annotationRef/>
      </w:r>
      <w:r>
        <w:rPr>
          <w:b/>
          <w:bCs/>
          <w:i/>
          <w:iCs/>
          <w:color w:val="000000"/>
        </w:rPr>
        <w:t>Nota Explicativa 1:</w:t>
      </w:r>
      <w:r>
        <w:rPr>
          <w:i/>
          <w:iCs/>
          <w:color w:val="000000"/>
        </w:rPr>
        <w:t xml:space="preserve"> Artigo 18, §1º, da Lei nº 14.133, de 2021, contém a seguinte redação: </w:t>
      </w:r>
    </w:p>
    <w:p w:rsidR="00FA217D" w:rsidRDefault="00FA217D" w:rsidP="00FA217D">
      <w:pPr>
        <w:pStyle w:val="Textodecomentrio"/>
      </w:pPr>
      <w:r>
        <w:rPr>
          <w:i/>
          <w:iCs/>
          <w:color w:val="000000"/>
        </w:rPr>
        <w:t>§ 1º O estudo técnico preliminar a que se refere o inciso I do caput deste artigo deverá evidenciar o problema a ser resolvido e a sua melhor solução, de modo a permitir a avaliação da viabilidade técnica e econômica da contratação, e conterá os seguintes elementos: (...)VII - descrição da solução como um todo, inclusive das exigências relacionadas à manutenção e à assistência técnica, quando for o caso.</w:t>
      </w:r>
    </w:p>
    <w:p w:rsidR="00FA217D" w:rsidRDefault="00FA217D" w:rsidP="00FA217D">
      <w:pPr>
        <w:pStyle w:val="Textodecomentrio"/>
      </w:pPr>
      <w:r>
        <w:rPr>
          <w:i/>
          <w:iCs/>
          <w:color w:val="000000"/>
        </w:rPr>
        <w:t>Ver também Instrução Normativa SEGES/ME nº 58, de 08 de agosto de 2022 (ETP), art. 3º, inciso I e art. 6º.</w:t>
      </w:r>
    </w:p>
    <w:p w:rsidR="00FA217D" w:rsidRDefault="00FA217D" w:rsidP="00FA217D">
      <w:pPr>
        <w:pStyle w:val="Textodecomentrio"/>
      </w:pPr>
      <w:r>
        <w:rPr>
          <w:i/>
          <w:iCs/>
          <w:color w:val="000000"/>
        </w:rPr>
        <w:t>Caso haja a necessidade de modificação da descrição em relação à originalmente feita nos estudos técnicos preliminares, recomenda-se o dispositivo 3.1, para que passe a contemplar essa alteração.</w:t>
      </w:r>
    </w:p>
    <w:p w:rsidR="00FA217D" w:rsidRDefault="00FA217D" w:rsidP="00FA217D">
      <w:pPr>
        <w:pStyle w:val="Textodecomentrio"/>
      </w:pPr>
      <w:r>
        <w:rPr>
          <w:i/>
          <w:iCs/>
          <w:color w:val="000000"/>
        </w:rPr>
        <w:t>A Instrução Normativa Seges/ME nº 81, de 2022, também trata da necessidade de descrição da solução como um todo, considerado todo o ciclo de vida do objeto, com preferência a arranjos inovadores em sede de economia circular, conforme seu artigo 9º, inciso III.</w:t>
      </w:r>
    </w:p>
    <w:p w:rsidR="00FA217D" w:rsidRDefault="00FA217D" w:rsidP="00FA217D">
      <w:pPr>
        <w:pStyle w:val="Textodecomentrio"/>
      </w:pPr>
    </w:p>
    <w:p w:rsidR="00FA217D" w:rsidRDefault="00FA217D" w:rsidP="00FA217D">
      <w:pPr>
        <w:pStyle w:val="Textodecomentrio"/>
      </w:pPr>
      <w:r>
        <w:rPr>
          <w:b/>
          <w:bCs/>
          <w:i/>
          <w:iCs/>
          <w:color w:val="000000"/>
        </w:rPr>
        <w:t>Nota Explicativa 2:</w:t>
      </w:r>
      <w:r>
        <w:rPr>
          <w:i/>
          <w:iCs/>
          <w:color w:val="000000"/>
        </w:rPr>
        <w:t xml:space="preserve"> A Instrução Normativa SEGES/ME nº 73, de 30 de setembro de 2022, em seu art. 9º, §1º, estabelece que os custos indiretos, relacionados às despesas de manutenção, utilização, reposição, depreciação e impacto ambiental, entre outros fatores vinculados ao seu ciclo de vida, poderão ser considerados para a definição do menor dispêndio, sempre que objetivamente mensuráveis, conforme parâmetros definidos em regulamento, de acordo com o § 1º do art. 34 da Lei nº 14.133, de 2021. Logo, a definição do menor dispêndio para Administração deve levar em consideração esse aspecto.</w:t>
      </w:r>
    </w:p>
    <w:p w:rsidR="00FA217D" w:rsidRDefault="00FA217D" w:rsidP="00FA217D">
      <w:pPr>
        <w:pStyle w:val="Textodecomentrio"/>
      </w:pPr>
    </w:p>
    <w:p w:rsidR="00FA217D" w:rsidRDefault="00FA217D" w:rsidP="00FA217D">
      <w:pPr>
        <w:pStyle w:val="Textodecomentrio"/>
      </w:pPr>
      <w:r>
        <w:rPr>
          <w:b/>
          <w:bCs/>
          <w:i/>
          <w:iCs/>
          <w:color w:val="000000"/>
        </w:rPr>
        <w:t xml:space="preserve">Nota Explicativa 3: </w:t>
      </w:r>
      <w:r>
        <w:rPr>
          <w:i/>
          <w:iCs/>
          <w:color w:val="000000"/>
        </w:rPr>
        <w:t>O objeto deve ser descrito de forma detalhada, com todas as especificações necessárias e suficientes para garantir a qualidade da contração, cuidando-se para que não sejam admitidas, previstas ou incluídas condições impertinentes ou irrelevantes para o específico objeto do contrato. Deve-se levar em consideração as normas técnicas eventualmente existentes, elaboradas pela Associação Brasileira de Normas Técnicas – ABNT, quanto a requisitos mínimos de qualidade, utilidade, resistência e segurança, nos termos da Lei n° 4.150, de 21 de novembro de 1962.</w:t>
      </w:r>
    </w:p>
    <w:p w:rsidR="00FA217D" w:rsidRDefault="00FA217D" w:rsidP="00FA217D">
      <w:pPr>
        <w:pStyle w:val="Textodecomentrio"/>
      </w:pPr>
    </w:p>
    <w:p w:rsidR="00FA217D" w:rsidRDefault="00FA217D" w:rsidP="00FA217D">
      <w:pPr>
        <w:pStyle w:val="Textodecomentrio"/>
      </w:pPr>
      <w:r>
        <w:rPr>
          <w:b/>
          <w:bCs/>
          <w:i/>
          <w:iCs/>
          <w:color w:val="000000"/>
        </w:rPr>
        <w:t xml:space="preserve">Nota Explicativa 4: </w:t>
      </w:r>
      <w:r>
        <w:rPr>
          <w:i/>
          <w:iCs/>
          <w:color w:val="000000"/>
        </w:rPr>
        <w:t xml:space="preserve">O art. 6º, XXIII, “c”, da Lei nº 14.133, de 2021, e o art. 9º, IIII, da Instrução Normativa Seges/ME nº 81, de 2022, dispõem que a descrição da solução como um todo deve considerar todo o ciclo de vida do objeto. “Ciclo de Vida” é definido no art. 3º da Lei nº 12.305, de 02 de agosto de 2010, como sendo “série de etapas que envolvem o desenvolvimento do produto, a obtenção de matérias-primas e insumos, o processo produtivo, o consumo e a disposição final”. Desse modo, a descrição da solução deve considerar não só suas características intrínsecas ao uso em si, mas também eventual sustentabilidade de sua produção, duração de seu consumo (se é menos ou mais durável) até a destinação final. </w:t>
      </w:r>
      <w:r>
        <w:rPr>
          <w:b/>
          <w:bCs/>
          <w:i/>
          <w:iCs/>
          <w:color w:val="000000"/>
        </w:rPr>
        <w:t>Reitere-se: se a descrição contida no ETP não contiver esse ponto, deve ser complementada neste TR</w:t>
      </w:r>
      <w:r>
        <w:rPr>
          <w:i/>
          <w:iCs/>
          <w:color w:val="000000"/>
        </w:rPr>
        <w:t>.</w:t>
      </w:r>
    </w:p>
    <w:p w:rsidR="00FA217D" w:rsidRDefault="00FA217D" w:rsidP="00FA217D">
      <w:pPr>
        <w:pStyle w:val="Textodecomentrio"/>
      </w:pPr>
    </w:p>
    <w:p w:rsidR="00FA217D" w:rsidRDefault="00FA217D" w:rsidP="00FA217D">
      <w:pPr>
        <w:pStyle w:val="Textodecomentrio"/>
      </w:pPr>
      <w:r>
        <w:rPr>
          <w:b/>
          <w:bCs/>
          <w:i/>
          <w:iCs/>
          <w:color w:val="000000"/>
        </w:rPr>
        <w:t>Nota Explicativa 5:</w:t>
      </w:r>
      <w:r>
        <w:rPr>
          <w:i/>
          <w:iCs/>
          <w:color w:val="000000"/>
        </w:rPr>
        <w:t xml:space="preserve"> O art. 40, §1º, inciso I, da Lei nº 14.133, de 2021, e o art. 9º, inciso I, alínea b, da Instrução Normativa Seges/ME nº 81, de 2022, estabelece que deve ser feita a especificação do produto/bem/serviço, preferencialmente conforme catálogo eletrônico de padronização, observados os requisitos de qualidade, rendimento, compatibilidade, durabilidade e segurança”. A Portaria SEGES/ME nº 938, de 02 de fevereiro de 2022, instituiu o </w:t>
      </w:r>
      <w:hyperlink r:id="rId1" w:history="1">
        <w:r w:rsidRPr="006165D5">
          <w:rPr>
            <w:rStyle w:val="Hyperlink"/>
          </w:rPr>
          <w:t>catálogo eletrônico de padronização</w:t>
        </w:r>
      </w:hyperlink>
      <w:r>
        <w:rPr>
          <w:i/>
          <w:iCs/>
          <w:color w:val="000000"/>
        </w:rPr>
        <w:t>, o qual deverá ser consultado para verificar se a contratação almejada está contemplada em seus termos. Em existindo padronização aprovada, ela deve ser considerada e eventual não-uso justificado nos autos.</w:t>
      </w:r>
    </w:p>
    <w:p w:rsidR="00FA217D" w:rsidRDefault="00FA217D" w:rsidP="00FA217D">
      <w:pPr>
        <w:pStyle w:val="Textodecomentrio"/>
      </w:pPr>
    </w:p>
    <w:p w:rsidR="00FA217D" w:rsidRDefault="00FA217D" w:rsidP="00FA217D">
      <w:pPr>
        <w:pStyle w:val="Textodecomentrio"/>
      </w:pPr>
      <w:r>
        <w:rPr>
          <w:b/>
          <w:bCs/>
          <w:i/>
          <w:iCs/>
          <w:color w:val="000000"/>
        </w:rPr>
        <w:t xml:space="preserve">Nota Explicativa 6: </w:t>
      </w:r>
      <w:r>
        <w:rPr>
          <w:i/>
          <w:iCs/>
          <w:color w:val="000000"/>
        </w:rPr>
        <w:t xml:space="preserve">Em havendo elementos de sustentabilidade (fornecimento em material reciclável ou com madeira de reflorestamento etc.) inerentes ao objeto contratual, estes devem estar na solução como um todo de modo específico e concreto, evitando-se descrições genéricas, de difícil aferição e controle. Recomenda-se destacar em tópicos específicos da descrição do objeto seus elementos atinentes a aspectos de sustentabilidade. Sugere-se consultar o </w:t>
      </w:r>
      <w:hyperlink r:id="rId2" w:history="1">
        <w:r w:rsidRPr="006165D5">
          <w:rPr>
            <w:rStyle w:val="Hyperlink"/>
          </w:rPr>
          <w:t>Guia Nacional de Contratações Sustentáveis da AGU</w:t>
        </w:r>
      </w:hyperlink>
      <w:r>
        <w:rPr>
          <w:i/>
          <w:iCs/>
          <w:color w:val="000000"/>
        </w:rPr>
        <w:t xml:space="preserve"> para tal fim. Caso o Estudo Técnico Preliminar seja silente ou insuficiente a esse respeito, recomenda-se abrir tópico específico nesta seção sobre a matéria.</w:t>
      </w:r>
    </w:p>
    <w:p w:rsidR="00FA217D" w:rsidRDefault="00FA217D" w:rsidP="00FA217D">
      <w:pPr>
        <w:pStyle w:val="Textodecomentrio"/>
      </w:pPr>
      <w:r>
        <w:rPr>
          <w:i/>
          <w:iCs/>
          <w:color w:val="000000"/>
        </w:rPr>
        <w:t>Vale registrar que a sustentabilidade pode incidir a partir de características do próprio objeto a ser contratado como também de outros modos, compilados no tópico “requisitos da contratação”, abaixo.</w:t>
      </w:r>
    </w:p>
  </w:comment>
  <w:comment w:id="5" w:author="Autor" w:date="2025-10-13T11:23:00Z" w:initials="MM">
    <w:p w:rsidR="00FA217D" w:rsidRDefault="00FA217D" w:rsidP="00FA217D">
      <w:pPr>
        <w:pStyle w:val="Textodecomentrio"/>
      </w:pPr>
      <w:r>
        <w:rPr>
          <w:rStyle w:val="Refdecomentrio"/>
        </w:rPr>
        <w:annotationRef/>
      </w:r>
      <w:r>
        <w:rPr>
          <w:b/>
          <w:bCs/>
          <w:i/>
          <w:iCs/>
          <w:color w:val="000000"/>
        </w:rPr>
        <w:t xml:space="preserve">Nota Explicativa 1: </w:t>
      </w:r>
      <w:r>
        <w:rPr>
          <w:i/>
          <w:iCs/>
          <w:color w:val="000000"/>
        </w:rPr>
        <w:t>Os requisitos da contratação deverão ser registrados nos Sistemas TR DIGITAL E ETP DIGITAL, nos term</w:t>
      </w:r>
      <w:r>
        <w:rPr>
          <w:i/>
          <w:iCs/>
        </w:rPr>
        <w:t xml:space="preserve">os do </w:t>
      </w:r>
      <w:hyperlink r:id="rId3" w:anchor="art9" w:history="1">
        <w:r w:rsidRPr="002D16CD">
          <w:rPr>
            <w:rStyle w:val="Hyperlink"/>
          </w:rPr>
          <w:t>art. 9º, inciso IV da IN Seges/ME nº 81, de 2022</w:t>
        </w:r>
      </w:hyperlink>
      <w:r>
        <w:rPr>
          <w:i/>
          <w:iCs/>
        </w:rPr>
        <w:t xml:space="preserve"> e </w:t>
      </w:r>
      <w:hyperlink r:id="rId4" w:anchor="art9" w:history="1">
        <w:r w:rsidRPr="002D16CD">
          <w:rPr>
            <w:rStyle w:val="Hyperlink"/>
          </w:rPr>
          <w:t>art. 9º, inciso II, da Instrução Normativa Seges/ME nº 58, de 2022.</w:t>
        </w:r>
      </w:hyperlink>
    </w:p>
    <w:p w:rsidR="00FA217D" w:rsidRDefault="00FA217D" w:rsidP="00FA217D">
      <w:pPr>
        <w:pStyle w:val="Textodecomentrio"/>
      </w:pPr>
      <w:r>
        <w:rPr>
          <w:b/>
          <w:bCs/>
          <w:i/>
          <w:iCs/>
          <w:color w:val="000000"/>
        </w:rPr>
        <w:t xml:space="preserve">Nota Explicativa 2: </w:t>
      </w:r>
      <w:r>
        <w:rPr>
          <w:i/>
          <w:iCs/>
          <w:color w:val="000000"/>
        </w:rPr>
        <w:t xml:space="preserve">Alguns requisitos de contratação tratados na lei foram abordados neste tópico do Termo de Referência. Isso não impede que outros requisitos de contratação, de caráter técnico, sejam inseridos pela área competente. Registre-se, apenas, que a documentação de habilitação técnica é objeto </w:t>
      </w:r>
      <w:r>
        <w:rPr>
          <w:i/>
          <w:iCs/>
        </w:rPr>
        <w:t>de tópico específico neste TR (CRITÉRIOS DE SELEÇÃO DO FORNECEDOR) de modo que sua inclusão aqui seria redundante.</w:t>
      </w:r>
    </w:p>
  </w:comment>
  <w:comment w:id="6" w:author="Autor" w:date="2025-10-13T11:23:00Z" w:initials="MM">
    <w:p w:rsidR="00FA217D" w:rsidRDefault="00FA217D" w:rsidP="00FA217D">
      <w:pPr>
        <w:pStyle w:val="Textodecomentrio"/>
      </w:pPr>
      <w:r>
        <w:rPr>
          <w:rStyle w:val="Refdecomentrio"/>
        </w:rPr>
        <w:annotationRef/>
      </w:r>
      <w:r>
        <w:rPr>
          <w:b/>
          <w:bCs/>
          <w:i/>
          <w:iCs/>
          <w:color w:val="000000"/>
        </w:rPr>
        <w:t>Nota Explicativa 1</w:t>
      </w:r>
      <w:r>
        <w:rPr>
          <w:i/>
          <w:iCs/>
          <w:color w:val="000000"/>
        </w:rPr>
        <w:t>: Não se admite a exigência de subcontratação para o fornecimento de bens, exceto quando estiver vinculado à prestação de serviços acessórios. Observe-se, ainda, que é vedada a subcontratação completa ou da parcela principal da obrigação.</w:t>
      </w:r>
    </w:p>
    <w:p w:rsidR="00FA217D" w:rsidRDefault="00FA217D" w:rsidP="00FA217D">
      <w:pPr>
        <w:pStyle w:val="Textodecomentrio"/>
      </w:pPr>
    </w:p>
    <w:p w:rsidR="00FA217D" w:rsidRDefault="00FA217D" w:rsidP="00FA217D">
      <w:pPr>
        <w:pStyle w:val="Textodecomentrio"/>
      </w:pPr>
      <w:r>
        <w:rPr>
          <w:b/>
          <w:bCs/>
          <w:i/>
          <w:iCs/>
          <w:color w:val="000000"/>
        </w:rPr>
        <w:t>Nota Explicativa 2:</w:t>
      </w:r>
      <w:r>
        <w:rPr>
          <w:i/>
          <w:iCs/>
          <w:color w:val="000000"/>
        </w:rPr>
        <w:t xml:space="preserve"> A subcontratação deve ser avaliada à luz do </w:t>
      </w:r>
      <w:hyperlink r:id="rId5" w:history="1">
        <w:r w:rsidRPr="000C0695">
          <w:rPr>
            <w:rStyle w:val="Hyperlink"/>
          </w:rPr>
          <w:t>artigo 122 da Lei nº 14.133, de 2021</w:t>
        </w:r>
      </w:hyperlink>
      <w:r>
        <w:rPr>
          <w:i/>
          <w:iCs/>
          <w:color w:val="000000"/>
        </w:rPr>
        <w:t>:</w:t>
      </w:r>
    </w:p>
    <w:p w:rsidR="00FA217D" w:rsidRDefault="00FA217D" w:rsidP="00FA217D">
      <w:pPr>
        <w:pStyle w:val="Textodecomentrio"/>
      </w:pPr>
      <w:r>
        <w:rPr>
          <w:i/>
          <w:iCs/>
          <w:color w:val="000000"/>
        </w:rPr>
        <w:t>“Art. 122. Na execução do contrato e sem prejuízo das responsabilidades contratuais e legais, o contratado poderá subcontratar partes da obra, do serviço ou do fornecimento até o limite autorizado, em cada caso, pela Administração.</w:t>
      </w:r>
    </w:p>
    <w:p w:rsidR="00FA217D" w:rsidRDefault="00FA217D" w:rsidP="00FA217D">
      <w:pPr>
        <w:pStyle w:val="Textodecomentrio"/>
      </w:pPr>
      <w:r>
        <w:rPr>
          <w:i/>
          <w:iCs/>
          <w:color w:val="000000"/>
        </w:rPr>
        <w:t>§ 1º O contratado apresentará à Administração documentação que comprove a capacidade técnica do subcontratado, que será avaliada e juntada aos autos do processo correspondente.</w:t>
      </w:r>
    </w:p>
    <w:p w:rsidR="00FA217D" w:rsidRDefault="00FA217D" w:rsidP="00FA217D">
      <w:pPr>
        <w:pStyle w:val="Textodecomentrio"/>
      </w:pPr>
      <w:r>
        <w:rPr>
          <w:i/>
          <w:iCs/>
          <w:color w:val="000000"/>
        </w:rPr>
        <w:t>§ 2º Regulamento ou edital de licitação poderão vedar, restringir ou estabelecer condições para a subcontratação.</w:t>
      </w:r>
    </w:p>
    <w:p w:rsidR="00FA217D" w:rsidRDefault="00FA217D" w:rsidP="00FA217D">
      <w:pPr>
        <w:pStyle w:val="Textodecomentrio"/>
      </w:pPr>
      <w:r>
        <w:rPr>
          <w:i/>
          <w:iCs/>
          <w:color w:val="000000"/>
        </w:rPr>
        <w:t>§ 3º Será vedada a subcontratação de pessoa física ou jurídica, se aquela ou os dirigentes desta mantiverem vínculo de natureza técnica, comercial, econômica, financeira, trabalhista ou civil com dirigente do órgão ou entidade contratante ou com agente público que desempenhe função na licitação ou atue na fiscalização ou na gestão do contrato, ou se deles forem cônjuge, companheiro ou parente em linha reta, colateral, ou por afinidade, até o terceiro grau, devendo essa proibição constar expressamente do edital de licitação.”</w:t>
      </w:r>
    </w:p>
  </w:comment>
  <w:comment w:id="7" w:author="Autor" w:date="2025-10-13T11:23:00Z" w:initials="MM">
    <w:p w:rsidR="00FA217D" w:rsidRDefault="00FA217D" w:rsidP="00FA217D">
      <w:pPr>
        <w:pStyle w:val="Textodecomentrio"/>
      </w:pPr>
      <w:r>
        <w:rPr>
          <w:rStyle w:val="Refdecomentrio"/>
        </w:rPr>
        <w:annotationRef/>
      </w:r>
      <w:r>
        <w:rPr>
          <w:b/>
          <w:bCs/>
          <w:i/>
          <w:iCs/>
          <w:color w:val="000000"/>
        </w:rPr>
        <w:t xml:space="preserve">Nota Explicativa1: </w:t>
      </w:r>
      <w:r>
        <w:rPr>
          <w:i/>
          <w:iCs/>
          <w:color w:val="000000"/>
        </w:rPr>
        <w:t>Neste momento, a área técnica competente deverá indicar se a contratação utilizará a garantia de execução ou não. As regras especificas sobre garantia, pelo seu caráter jurídico, estarão previstas no contrato e deverão ser nele inseridas caso haja indicação positiva no Termo de Referência. Caso não haja uso de minuta contratual, recomenda-se copiar e colar aqui as regras do contrato sobre esse assunto.</w:t>
      </w:r>
    </w:p>
    <w:p w:rsidR="00FA217D" w:rsidRDefault="00FA217D" w:rsidP="00FA217D">
      <w:pPr>
        <w:pStyle w:val="Textodecomentrio"/>
      </w:pPr>
    </w:p>
    <w:p w:rsidR="00FA217D" w:rsidRDefault="00FA217D" w:rsidP="00FA217D">
      <w:pPr>
        <w:pStyle w:val="Textodecomentrio"/>
      </w:pPr>
      <w:r>
        <w:rPr>
          <w:b/>
          <w:bCs/>
          <w:i/>
          <w:iCs/>
        </w:rPr>
        <w:t>Nota Explicativa 2</w:t>
      </w:r>
      <w:r>
        <w:rPr>
          <w:i/>
          <w:iCs/>
        </w:rPr>
        <w:t>: O percentual da garantia será de:</w:t>
      </w:r>
    </w:p>
    <w:p w:rsidR="00FA217D" w:rsidRDefault="00FA217D" w:rsidP="00FA217D">
      <w:pPr>
        <w:pStyle w:val="Textodecomentrio"/>
      </w:pPr>
      <w:r>
        <w:rPr>
          <w:i/>
          <w:iCs/>
        </w:rPr>
        <w:t>a) até 5% (cinco por cento) do valor inicial do contrato, para contratações em geral;</w:t>
      </w:r>
    </w:p>
    <w:p w:rsidR="00FA217D" w:rsidRDefault="00FA217D" w:rsidP="00FA217D">
      <w:pPr>
        <w:pStyle w:val="Textodecomentrio"/>
      </w:pPr>
      <w:r>
        <w:rPr>
          <w:i/>
          <w:iCs/>
        </w:rPr>
        <w:t>b) até 10% (dez por cento) do valor inicial do contrato, nos casos de alta complexidade técnica e riscos envolvidos, caso em que deverá haver justificativa específica nos autos;</w:t>
      </w:r>
    </w:p>
    <w:p w:rsidR="00FA217D" w:rsidRDefault="00FA217D" w:rsidP="00FA217D">
      <w:pPr>
        <w:pStyle w:val="Textodecomentrio"/>
      </w:pPr>
      <w:r>
        <w:rPr>
          <w:i/>
          <w:iCs/>
        </w:rPr>
        <w:t>c) ser acrescido de garantia adicional aos percentuais citados anteriormente, em casos de previsão de antecipação de pagamento, nos termos do art. 145, § 2º, da Lei nº 14.133, de 2021.</w:t>
      </w:r>
    </w:p>
    <w:p w:rsidR="00FA217D" w:rsidRDefault="00FA217D" w:rsidP="00FA217D">
      <w:pPr>
        <w:pStyle w:val="Textodecomentrio"/>
      </w:pPr>
    </w:p>
    <w:p w:rsidR="00FA217D" w:rsidRDefault="00FA217D" w:rsidP="00FA217D">
      <w:pPr>
        <w:pStyle w:val="Textodecomentrio"/>
      </w:pPr>
      <w:r>
        <w:rPr>
          <w:b/>
          <w:bCs/>
          <w:i/>
          <w:iCs/>
          <w:color w:val="000000"/>
        </w:rPr>
        <w:t xml:space="preserve">Nota Explicativa 3: </w:t>
      </w:r>
      <w:r>
        <w:rPr>
          <w:i/>
          <w:iCs/>
          <w:color w:val="000000"/>
        </w:rPr>
        <w:t>No art. 96, §3º, da Lei nº 14.133, de 2021, há previsão apenas do prazo para apresentação da garantia na modalidade seguro-garantia, em contratações precedidas de licitações, caso em que o prazo deverá ser contado da homologação da licitação. Nas demais modalidades, deverá a Administração prever o prazo e o termo início de sua contagem para a apresentação da garantia. Como o seguro-garantia, nos termos da lei, teria de ser pré-contratual, esta disposição deve estar contida neste documento igualmente pré-contratual.</w:t>
      </w:r>
    </w:p>
  </w:comment>
  <w:comment w:id="8" w:author="Autor" w:date="2025-10-13T11:23:00Z" w:initials="MM">
    <w:p w:rsidR="00FA217D" w:rsidRDefault="00FA217D" w:rsidP="00FA217D">
      <w:pPr>
        <w:pStyle w:val="Textodecomentrio"/>
      </w:pPr>
      <w:r>
        <w:rPr>
          <w:rStyle w:val="Refdecomentrio"/>
        </w:rPr>
        <w:annotationRef/>
      </w:r>
      <w:r>
        <w:rPr>
          <w:b/>
          <w:bCs/>
          <w:i/>
          <w:iCs/>
          <w:color w:val="000000"/>
        </w:rPr>
        <w:t>Nota explicativa</w:t>
      </w:r>
      <w:r>
        <w:rPr>
          <w:i/>
          <w:iCs/>
          <w:color w:val="000000"/>
        </w:rPr>
        <w:t>: Este item deve ser adaptado de acordo com as necessidades específicas do órgão ou entidade, apresentando-se, este modelo, de forma meramente exemplificativa.</w:t>
      </w:r>
    </w:p>
  </w:comment>
  <w:comment w:id="9" w:author="Autor" w:date="2025-10-13T11:23:00Z" w:initials="MM">
    <w:p w:rsidR="00FA217D" w:rsidRDefault="00FA217D" w:rsidP="00FA217D">
      <w:pPr>
        <w:pStyle w:val="Textodecomentrio"/>
      </w:pPr>
      <w:r>
        <w:rPr>
          <w:rStyle w:val="Refdecomentrio"/>
        </w:rPr>
        <w:annotationRef/>
      </w:r>
      <w:r>
        <w:rPr>
          <w:b/>
          <w:bCs/>
          <w:i/>
          <w:iCs/>
          <w:color w:val="000000"/>
        </w:rPr>
        <w:t>Nota Explicativa 1:</w:t>
      </w:r>
      <w:r>
        <w:rPr>
          <w:i/>
          <w:iCs/>
          <w:color w:val="000000"/>
        </w:rPr>
        <w:t xml:space="preserve"> Fica a critério da Administração exigir - ou não - a garantia contratual dos bens, complementar à garantia legal, mediante a devida fundamentação, a ser exposta neste item do Termo de Referência. Não a exigindo, deverá suprimir o item. </w:t>
      </w:r>
    </w:p>
    <w:p w:rsidR="00FA217D" w:rsidRDefault="00FA217D" w:rsidP="00FA217D">
      <w:pPr>
        <w:pStyle w:val="Textodecomentrio"/>
      </w:pPr>
    </w:p>
    <w:p w:rsidR="00FA217D" w:rsidRDefault="00FA217D" w:rsidP="00FA217D">
      <w:pPr>
        <w:pStyle w:val="Textodecomentrio"/>
      </w:pPr>
      <w:r>
        <w:rPr>
          <w:b/>
          <w:bCs/>
          <w:i/>
          <w:iCs/>
          <w:color w:val="000000"/>
        </w:rPr>
        <w:t>Nota Explicativa 2</w:t>
      </w:r>
      <w:r>
        <w:rPr>
          <w:i/>
          <w:iCs/>
          <w:color w:val="000000"/>
        </w:rPr>
        <w:t xml:space="preserve">: O </w:t>
      </w:r>
      <w:hyperlink r:id="rId6" w:history="1">
        <w:r w:rsidRPr="00D00D34">
          <w:rPr>
            <w:rStyle w:val="Hyperlink"/>
          </w:rPr>
          <w:t xml:space="preserve">artigo 9º, inciso alínea “d” </w:t>
        </w:r>
      </w:hyperlink>
      <w:hyperlink r:id="rId7" w:history="1">
        <w:r w:rsidRPr="00D00D34">
          <w:rPr>
            <w:rStyle w:val="Hyperlink"/>
          </w:rPr>
          <w:t>da IN Seges/ME nº 81</w:t>
        </w:r>
      </w:hyperlink>
      <w:r>
        <w:rPr>
          <w:i/>
          <w:iCs/>
        </w:rPr>
        <w:t xml:space="preserve"> de 2022 ex</w:t>
      </w:r>
      <w:r>
        <w:rPr>
          <w:i/>
          <w:iCs/>
          <w:color w:val="000000"/>
        </w:rPr>
        <w:t>ige que a inserção no TR Digital da especificação da garantia exigida e das condições de manutenção e assistência técnica, quando for o caso.</w:t>
      </w:r>
    </w:p>
  </w:comment>
  <w:comment w:id="10" w:author="Autor" w:date="2025-10-13T11:23:00Z" w:initials="MM">
    <w:p w:rsidR="00FA217D" w:rsidRPr="00A91590" w:rsidRDefault="00FA217D" w:rsidP="00FA217D">
      <w:pPr>
        <w:pStyle w:val="Textodecomentrio"/>
        <w:rPr>
          <w:i/>
          <w:color w:val="000000" w:themeColor="text1"/>
        </w:rPr>
      </w:pPr>
      <w:r>
        <w:rPr>
          <w:rStyle w:val="Refdecomentrio"/>
        </w:rPr>
        <w:annotationRef/>
      </w:r>
      <w:r w:rsidRPr="00A91590">
        <w:rPr>
          <w:bCs/>
          <w:i/>
          <w:iCs/>
          <w:color w:val="000000" w:themeColor="text1"/>
        </w:rPr>
        <w:t>Sugere-se esta redação para material de consumo</w:t>
      </w:r>
    </w:p>
  </w:comment>
  <w:comment w:id="11" w:author="Autor" w:date="2025-10-13T11:23:00Z" w:initials="MM">
    <w:p w:rsidR="00FA217D" w:rsidRDefault="00FA217D" w:rsidP="00FA217D">
      <w:pPr>
        <w:pStyle w:val="Textodecomentrio"/>
      </w:pPr>
      <w:r>
        <w:rPr>
          <w:rStyle w:val="Refdecomentrio"/>
        </w:rPr>
        <w:annotationRef/>
      </w:r>
      <w:r>
        <w:rPr>
          <w:b/>
          <w:bCs/>
        </w:rPr>
        <w:t xml:space="preserve">Nota Explicativa: </w:t>
      </w:r>
      <w:r>
        <w:t xml:space="preserve">Os gestores e fiscais do contrato serão designados pela autoridade máxima do órgão ou da entidade, ou a quem as normas de organização administrativa indicarem, na forma do </w:t>
      </w:r>
      <w:hyperlink r:id="rId8" w:history="1">
        <w:r w:rsidRPr="000772F8">
          <w:rPr>
            <w:rStyle w:val="Hyperlink"/>
          </w:rPr>
          <w:t>art. 7º da Lei nº 14.133, de 2021</w:t>
        </w:r>
      </w:hyperlink>
      <w:r>
        <w:t xml:space="preserve">, e art. 8º do </w:t>
      </w:r>
      <w:hyperlink r:id="rId9" w:history="1">
        <w:r w:rsidRPr="000772F8">
          <w:rPr>
            <w:rStyle w:val="Hyperlink"/>
          </w:rPr>
          <w:t>Decreto nº 11.246, de 2022</w:t>
        </w:r>
      </w:hyperlink>
      <w:r>
        <w:t>, devendo a Administração instruir os autos com as publicações dos atos de designação dos agentes públicos para o exercício dessas funções.</w:t>
      </w:r>
    </w:p>
  </w:comment>
  <w:comment w:id="12" w:author="Autor" w:date="2025-10-13T11:23:00Z" w:initials="MM">
    <w:p w:rsidR="00FA217D" w:rsidRDefault="00FA217D" w:rsidP="00FA217D">
      <w:pPr>
        <w:pStyle w:val="Textodecomentrio"/>
      </w:pPr>
      <w:r>
        <w:rPr>
          <w:rStyle w:val="Refdecomentrio"/>
        </w:rPr>
        <w:annotationRef/>
      </w:r>
      <w:r>
        <w:rPr>
          <w:b/>
          <w:bCs/>
          <w:i/>
          <w:iCs/>
          <w:color w:val="000000"/>
        </w:rPr>
        <w:t>Nota explicativa:</w:t>
      </w:r>
      <w:r>
        <w:rPr>
          <w:i/>
          <w:iCs/>
          <w:color w:val="000000"/>
        </w:rPr>
        <w:t xml:space="preserve"> O art. 7º, inciso I, </w:t>
      </w:r>
      <w:hyperlink r:id="rId10" w:history="1">
        <w:r w:rsidRPr="00F63382">
          <w:rPr>
            <w:rStyle w:val="Hyperlink"/>
          </w:rPr>
          <w:t>da Instrução Normativa SEGES/ME nº 77, de 4 de novembro de 2022</w:t>
        </w:r>
      </w:hyperlink>
      <w:r>
        <w:rPr>
          <w:i/>
          <w:iCs/>
          <w:color w:val="000000"/>
        </w:rPr>
        <w:t xml:space="preserve">, estabelece o prazo de 10 (dez dias) úteis para a liquidação da despesa, </w:t>
      </w:r>
      <w:r>
        <w:rPr>
          <w:b/>
          <w:bCs/>
          <w:i/>
          <w:iCs/>
          <w:color w:val="000000"/>
        </w:rPr>
        <w:t xml:space="preserve">a contar do recebimento da nota fiscal ou instrumento de cobrança equivalente </w:t>
      </w:r>
      <w:r>
        <w:rPr>
          <w:i/>
          <w:iCs/>
          <w:color w:val="000000"/>
        </w:rPr>
        <w:t xml:space="preserve">pela Administração. Tendo em vista que os bens serão entregues para a Administração juntamente com a respectiva nota fiscal ou instrumento equivalente de cobrança (fatura, invoice etc.), deve-se concluir que, no caso das compras, durante o curso do prazo de liquidação, a Administração deverá realizar também os recebimentos provisório e definitivo do bem. Em outras palavras, </w:t>
      </w:r>
      <w:r>
        <w:rPr>
          <w:b/>
          <w:bCs/>
          <w:i/>
          <w:iCs/>
          <w:color w:val="000000"/>
        </w:rPr>
        <w:t>o prazo máximo de 10 dias úteis deverá ser suficiente para as providências de recebimentos provisório, definitivo e de liquidação</w:t>
      </w:r>
      <w:r>
        <w:rPr>
          <w:i/>
          <w:iCs/>
          <w:color w:val="000000"/>
        </w:rPr>
        <w:t xml:space="preserve">. Assim, embora a </w:t>
      </w:r>
      <w:hyperlink r:id="rId11" w:history="1">
        <w:r w:rsidRPr="00F63382">
          <w:rPr>
            <w:rStyle w:val="Hyperlink"/>
          </w:rPr>
          <w:t>Lei nº 14.133/21</w:t>
        </w:r>
      </w:hyperlink>
      <w:r>
        <w:rPr>
          <w:i/>
          <w:iCs/>
          <w:color w:val="000000"/>
        </w:rPr>
        <w:t xml:space="preserve"> não fixe prazo máximo de recebimento definitivo, este prazo deverá ser inferior ao fixado para liquidação de despesa pela </w:t>
      </w:r>
      <w:hyperlink r:id="rId12" w:history="1">
        <w:r w:rsidRPr="00F63382">
          <w:rPr>
            <w:rStyle w:val="Hyperlink"/>
          </w:rPr>
          <w:t>IN SEGES/ME nº 77, de 2022</w:t>
        </w:r>
      </w:hyperlink>
      <w:r>
        <w:rPr>
          <w:i/>
          <w:iCs/>
          <w:color w:val="000000"/>
        </w:rPr>
        <w:t>. Portanto, a Administração deve definir o prazo de recebimento considerando o máximo de 10 dias úteis, a sua realidade administrativa, a complexidade do objeto e o tempo que será consumido para os procedimentos contábeis de liquidação. Em sendo detectado, na fase de planejamento da contratação (notadamente no gerenciamento dos riscos), que haverá dificuldades para cumprimento do prazo estabelecido, deverão ser previstas medidas para superar tais contingências.</w:t>
      </w:r>
    </w:p>
  </w:comment>
  <w:comment w:id="13" w:author="Autor" w:date="2025-10-13T11:23:00Z" w:initials="MM">
    <w:p w:rsidR="00FA217D" w:rsidRDefault="00FA217D" w:rsidP="00FA217D">
      <w:pPr>
        <w:pStyle w:val="Textodecomentrio"/>
      </w:pPr>
      <w:r>
        <w:rPr>
          <w:rStyle w:val="Refdecomentrio"/>
        </w:rPr>
        <w:annotationRef/>
      </w:r>
      <w:r>
        <w:rPr>
          <w:b/>
          <w:bCs/>
          <w:i/>
          <w:iCs/>
          <w:color w:val="000000"/>
        </w:rPr>
        <w:t>Nota Explicativa:</w:t>
      </w:r>
      <w:r>
        <w:rPr>
          <w:i/>
          <w:iCs/>
          <w:color w:val="000000"/>
        </w:rPr>
        <w:t xml:space="preserve"> É fundamental que a Administração observe que exigências demasiadas poderão prejudicar a competitividade da licitação e ofender a o disposto no </w:t>
      </w:r>
      <w:hyperlink r:id="rId13" w:history="1">
        <w:r w:rsidRPr="002C2364">
          <w:rPr>
            <w:rStyle w:val="Hyperlink"/>
          </w:rPr>
          <w:t>art. 37, inciso XXI da Constituição Federal</w:t>
        </w:r>
      </w:hyperlink>
      <w:r>
        <w:rPr>
          <w:i/>
          <w:iCs/>
          <w:color w:val="000000"/>
        </w:rPr>
        <w:t>, o qual preceitua que “o processo de licitação pública... somente permitirá as exigências de qualificação técnica e econômica indispensáveis à garantia do cumprimento das obrigações”.</w:t>
      </w:r>
    </w:p>
    <w:p w:rsidR="00FA217D" w:rsidRDefault="00FA217D" w:rsidP="00FA217D">
      <w:pPr>
        <w:pStyle w:val="Textodecomentrio"/>
      </w:pPr>
      <w:r>
        <w:rPr>
          <w:i/>
          <w:iCs/>
          <w:color w:val="000000"/>
        </w:rPr>
        <w:t>O</w:t>
      </w:r>
      <w:hyperlink r:id="rId14" w:history="1">
        <w:r w:rsidRPr="002C2364">
          <w:rPr>
            <w:rStyle w:val="Hyperlink"/>
          </w:rPr>
          <w:t xml:space="preserve"> art. 70, III, da Lei Nº 14.133/2021</w:t>
        </w:r>
      </w:hyperlink>
      <w:r>
        <w:rPr>
          <w:i/>
          <w:iCs/>
          <w:color w:val="000000"/>
        </w:rPr>
        <w:t>, por sua vez, dispõe que as exigências de habilitação poderão ser dispensadas, “total ou parcialmente, nas contratações para entrega imediata, nas contratações em valores inferiores a 1/4 (um quarto) do limite para dispensa de licitação para compras em geral e nas contratações de produto para pesquisa e desenvolvimento até o valor de R$ 300.000,00 (trezentos mil reais).” (Referidos valores são atualizados anualmente por Decreto, conforme art. 182 da mesma Lei).</w:t>
      </w:r>
    </w:p>
    <w:p w:rsidR="00FA217D" w:rsidRDefault="00FA217D" w:rsidP="00FA217D">
      <w:pPr>
        <w:pStyle w:val="Textodecomentrio"/>
      </w:pPr>
      <w:r>
        <w:rPr>
          <w:i/>
          <w:iCs/>
          <w:color w:val="000000"/>
        </w:rPr>
        <w:t xml:space="preserve">A combinação da disposição constitucional com a disposição legal resulta que as exigências de qualificação técnica e econômica nas situações retratadas no art. 70, III, deve ser excepcional e justificada. Nas demais situações, em razão da diretriz constitucional, a Administração deve observar, diante do caso concreto, se o objeto da contratação demanda a exigência de todos os requisitos de habilitação apresentados neste modelo, levando-se em consideração o vulto e/ou a complexidade do objeto, a essencialidade do serviço e os riscos decorrentes de sua paralisação em função da eventual incapacidade econômica da contratada em suportar vicissitudes contratuais, excluindo-se o que entender excessivo. </w:t>
      </w:r>
    </w:p>
    <w:p w:rsidR="00FA217D" w:rsidRDefault="00FA217D" w:rsidP="00FA217D">
      <w:pPr>
        <w:pStyle w:val="Textodecomentrio"/>
      </w:pPr>
      <w:r>
        <w:rPr>
          <w:i/>
          <w:iCs/>
          <w:color w:val="000000"/>
        </w:rPr>
        <w:t>Em licitação dividida em itens, as exigências de habilitação podem adequar-se a essa divisibilidade, sendo possível, em um mesmo instrumento, a exigência de requisitos de habilitação mais amplos somente para alguns itens. Para se fazer isso, basta acrescentar uma ressalva ao final na exigência pertinente, tal como “(exigência relativa somente aos itens X, Y, Z)”.</w:t>
      </w:r>
    </w:p>
    <w:p w:rsidR="00FA217D" w:rsidRDefault="00FA217D" w:rsidP="00FA217D">
      <w:pPr>
        <w:pStyle w:val="Textodecomentrio"/>
      </w:pPr>
      <w:r>
        <w:rPr>
          <w:i/>
          <w:iCs/>
          <w:color w:val="000000"/>
        </w:rPr>
        <w:t>É vedada a inclusão de requisitos que não tenham suporte nos arts. 66 a 69 da Lei nº 14.133, de 2021.</w:t>
      </w:r>
    </w:p>
  </w:comment>
  <w:comment w:id="15" w:author="Autor" w:date="2025-10-13T11:23:00Z" w:initials="MM">
    <w:p w:rsidR="00FA217D" w:rsidRDefault="00FA217D" w:rsidP="00FA217D">
      <w:pPr>
        <w:pStyle w:val="Textodecomentrio"/>
      </w:pPr>
      <w:r>
        <w:rPr>
          <w:rStyle w:val="Refdecomentrio"/>
        </w:rPr>
        <w:annotationRef/>
      </w:r>
      <w:r>
        <w:rPr>
          <w:b/>
          <w:bCs/>
          <w:i/>
          <w:iCs/>
          <w:color w:val="000000"/>
        </w:rPr>
        <w:t>Nota Explicativa 1:</w:t>
      </w:r>
      <w:r>
        <w:rPr>
          <w:i/>
          <w:iCs/>
          <w:color w:val="000000"/>
        </w:rPr>
        <w:t xml:space="preserve"> A Administração deve examinar, diante do caso concreto, se o objeto da contratação demanda a exigência de todos os requisitos de habilitação apresentados neste modelo, levando-se em consideração o vulto e/ou a complexidade e a essencialidade do objeto, bem como os riscos decorrentes de sua paralisação em função da eventual incapacidade econômica da contratada em suportar os deveres contratuais, excluindo-se o que entender excessivo. Nesse sentido, a exigência pode restringir-se a alguns itens, como, por exemplo, somente aos itens não exclusivos a microempresa e empresas de pequeno porte, ou mesmo não ser exigida para nenhum deles, caso em que deve ser suprimida do edital. Conforme Nota Explicativa do início deste tópico, a exigência de qualificação técnica e econômica nas circunstâncias previstas no art. 70, III da </w:t>
      </w:r>
      <w:hyperlink r:id="rId15" w:history="1">
        <w:r w:rsidRPr="00082396">
          <w:rPr>
            <w:rStyle w:val="Hyperlink"/>
          </w:rPr>
          <w:t>Lei n.º 14.133, de 2021</w:t>
        </w:r>
      </w:hyperlink>
      <w:r>
        <w:rPr>
          <w:i/>
          <w:iCs/>
          <w:color w:val="000000"/>
        </w:rPr>
        <w:t xml:space="preserve">, deve ser excepcional e justificada, à luz do </w:t>
      </w:r>
      <w:hyperlink r:id="rId16" w:history="1">
        <w:r w:rsidRPr="00082396">
          <w:rPr>
            <w:rStyle w:val="Hyperlink"/>
          </w:rPr>
          <w:t>art. 37, XXI, da Constituição Federal</w:t>
        </w:r>
      </w:hyperlink>
      <w:r>
        <w:rPr>
          <w:i/>
          <w:iCs/>
          <w:color w:val="000000"/>
        </w:rPr>
        <w:t>.</w:t>
      </w:r>
    </w:p>
    <w:p w:rsidR="00FA217D" w:rsidRDefault="00FA217D" w:rsidP="00FA217D">
      <w:pPr>
        <w:pStyle w:val="Textodecomentrio"/>
      </w:pPr>
      <w:r>
        <w:rPr>
          <w:b/>
          <w:bCs/>
          <w:i/>
          <w:iCs/>
          <w:color w:val="000000"/>
        </w:rPr>
        <w:t>Nota Explicativa 2:</w:t>
      </w:r>
      <w:r>
        <w:rPr>
          <w:i/>
          <w:iCs/>
          <w:color w:val="000000"/>
        </w:rPr>
        <w:t xml:space="preserve"> É possível adotar critérios de habilitação econômico-financeira com requisitos diferenciados, estabelecidos conforme as peculiaridades do objeto a ser licitado, com justificativa do percentual adotado nos autos do procedimento licitatório.</w:t>
      </w:r>
    </w:p>
  </w:comment>
  <w:comment w:id="16" w:author="Autor" w:date="2025-10-13T11:23:00Z" w:initials="MM">
    <w:p w:rsidR="00FA217D" w:rsidRDefault="00FA217D" w:rsidP="00FA217D">
      <w:pPr>
        <w:pStyle w:val="Textodecomentrio"/>
      </w:pPr>
      <w:r>
        <w:rPr>
          <w:rStyle w:val="Refdecomentrio"/>
        </w:rPr>
        <w:annotationRef/>
      </w:r>
      <w:r>
        <w:rPr>
          <w:b/>
          <w:bCs/>
          <w:i/>
          <w:iCs/>
          <w:color w:val="000000"/>
        </w:rPr>
        <w:t xml:space="preserve">Nota Explicativa 1: </w:t>
      </w:r>
      <w:r>
        <w:rPr>
          <w:i/>
          <w:iCs/>
          <w:color w:val="000000"/>
        </w:rPr>
        <w:t xml:space="preserve">Pesquisa de Preços - A estimativa de preços deve ser precedida de regular pesquisa, nos moldes do </w:t>
      </w:r>
      <w:hyperlink r:id="rId17" w:history="1">
        <w:r w:rsidRPr="008F1673">
          <w:rPr>
            <w:rStyle w:val="Hyperlink"/>
          </w:rPr>
          <w:t>art. 23 da Lei nº 14.133, de 2021</w:t>
        </w:r>
      </w:hyperlink>
      <w:r>
        <w:rPr>
          <w:i/>
          <w:iCs/>
          <w:color w:val="000000"/>
        </w:rPr>
        <w:t xml:space="preserve">, e da </w:t>
      </w:r>
      <w:hyperlink r:id="rId18" w:history="1">
        <w:r w:rsidRPr="008F1673">
          <w:rPr>
            <w:rStyle w:val="Hyperlink"/>
          </w:rPr>
          <w:t>Instrução Normativa SEGES/ME nº 65, de 7 de julho 2021.</w:t>
        </w:r>
      </w:hyperlink>
    </w:p>
    <w:p w:rsidR="00FA217D" w:rsidRDefault="00FA217D" w:rsidP="00FA217D">
      <w:pPr>
        <w:pStyle w:val="Textodecomentrio"/>
      </w:pPr>
      <w:r>
        <w:rPr>
          <w:b/>
          <w:bCs/>
          <w:i/>
          <w:iCs/>
        </w:rPr>
        <w:t>Nota Explicativa 2:</w:t>
      </w:r>
      <w:r>
        <w:rPr>
          <w:i/>
          <w:iCs/>
        </w:rPr>
        <w:t xml:space="preserve"> Os preços unitários referenciais, as memórias de cálculo e os documentos que lhe dão suporte, com os parâmetros utilizados para a obtenção dos preços e para os respectivos cálculos, devem constar de anexo ao termo de referência,nos termos do </w:t>
      </w:r>
      <w:hyperlink r:id="rId19" w:history="1">
        <w:r w:rsidRPr="008F1673">
          <w:rPr>
            <w:rStyle w:val="Hyperlink"/>
          </w:rPr>
          <w:t>art. 9º, IX, da Instrução Normativa Seges/ME nº 81, de 2022</w:t>
        </w:r>
      </w:hyperlink>
      <w:r>
        <w:rPr>
          <w:i/>
          <w:iCs/>
        </w:rPr>
        <w:t xml:space="preserve">. Caso a Administração opte por preservar o sigilo da estimativa do valor da contratação, também deverá ser preservado o sigilo desse anexo. </w:t>
      </w:r>
    </w:p>
    <w:p w:rsidR="00FA217D" w:rsidRDefault="00FA217D" w:rsidP="00FA217D">
      <w:pPr>
        <w:pStyle w:val="Textodecomentrio"/>
      </w:pPr>
      <w:r>
        <w:rPr>
          <w:b/>
          <w:bCs/>
          <w:i/>
          <w:iCs/>
        </w:rPr>
        <w:t xml:space="preserve">Nota Explicativa 3: </w:t>
      </w:r>
      <w:r>
        <w:rPr>
          <w:i/>
          <w:iCs/>
        </w:rPr>
        <w:t>Utilizar a redação do item 9.1 na hipótese de licitação em que for adotado o critério de julgamento por menor preço, sem caráter sigiloso.</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72B1" w:rsidRDefault="00E872B1" w:rsidP="00AA0672">
      <w:pPr>
        <w:spacing w:after="0" w:line="240" w:lineRule="auto"/>
      </w:pPr>
      <w:r>
        <w:separator/>
      </w:r>
    </w:p>
  </w:endnote>
  <w:endnote w:type="continuationSeparator" w:id="1">
    <w:p w:rsidR="00E872B1" w:rsidRDefault="00E872B1" w:rsidP="00AA067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MT">
    <w:altName w:val="Arial"/>
    <w:charset w:val="01"/>
    <w:family w:val="swiss"/>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6B8" w:rsidRDefault="00E352CF">
    <w:pPr>
      <w:pStyle w:val="Rodap"/>
    </w:pPr>
    <w:r>
      <w:rPr>
        <w:noProof/>
      </w:rPr>
      <w:pict>
        <v:shapetype id="_x0000_t202" coordsize="21600,21600" o:spt="202" path="m,l,21600r21600,l21600,xe">
          <v:stroke joinstyle="miter"/>
          <v:path gradientshapeok="t" o:connecttype="rect"/>
        </v:shapetype>
        <v:shape id="_x0000_s1027" type="#_x0000_t202" style="position:absolute;margin-left:-70.95pt;margin-top:-12.15pt;width:257.25pt;height:60.65pt;z-index:251674624;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" filled="f" stroked="f">
          <v:textbox>
            <w:txbxContent>
              <w:p w:rsidR="003506B8" w:rsidRDefault="003506B8" w:rsidP="003506B8">
                <w:r w:rsidRPr="003506B8">
                  <w:rPr>
                    <w:rFonts w:ascii="Times New Roman" w:hAnsi="Times New Roman" w:cs="Times New Roman"/>
                    <w:b/>
                    <w:bCs/>
                    <w:sz w:val="20"/>
                    <w:szCs w:val="20"/>
                  </w:rPr>
                  <w:t>Prefeitura Municipal de Rosário do Sul</w:t>
                </w:r>
                <w:r>
                  <w:rPr>
                    <w:rFonts w:ascii="Times New Roman" w:hAnsi="Times New Roman" w:cs="Times New Roman"/>
                    <w:sz w:val="20"/>
                    <w:szCs w:val="20"/>
                  </w:rPr>
                  <w:br/>
                  <w:t xml:space="preserve">Rua Amaro Souto, 2203 – Centro – Rosário do Sul </w:t>
                </w:r>
                <w:r>
                  <w:rPr>
                    <w:rFonts w:ascii="Times New Roman" w:hAnsi="Times New Roman" w:cs="Times New Roman"/>
                    <w:sz w:val="20"/>
                    <w:szCs w:val="20"/>
                  </w:rPr>
                  <w:br/>
                  <w:t>E-mail: imprensa@rosariodosul.rs.gov.br</w:t>
                </w:r>
              </w:p>
            </w:txbxContent>
          </v:textbox>
          <w10:wrap type="square"/>
        </v:shape>
      </w:pict>
    </w:r>
    <w:r>
      <w:rPr>
        <w:noProof/>
      </w:rPr>
      <w:pict>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_x0000_s1030" type="#_x0000_t7" style="position:absolute;margin-left:275.6pt;margin-top:20.15pt;width:249pt;height:42.75pt;z-index:25166950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" adj="927" fillcolor="#fbf61e" strokecolor="white [3201]" strokeweight="1.5pt"/>
      </w:pict>
    </w:r>
    <w:r>
      <w:rPr>
        <w:noProof/>
      </w:rPr>
      <w:pict>
        <v:rect id="_x0000_s1029" style="position:absolute;margin-left:0;margin-top:35.4pt;width:602.25pt;height:28.5pt;z-index:251672576;visibility:visible;mso-position-horizontal:center;mso-position-horizontal-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" fillcolor="#090" strokecolor="white [3212]" strokeweight="1pt">
          <w10:wrap anchorx="margin"/>
        </v:rect>
      </w:pict>
    </w:r>
    <w:r>
      <w:rPr>
        <w:noProof/>
      </w:rPr>
      <w:pict>
        <v:shape id="_x0000_s1028" type="#_x0000_t7" style="position:absolute;margin-left:315.75pt;margin-top:20.3pt;width:249pt;height:42.75pt;z-index:25167052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" adj="927" fillcolor="#3c3" strokecolor="white [3201]" strokeweight="1.5pt"/>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72B1" w:rsidRDefault="00E872B1" w:rsidP="00AA0672">
      <w:pPr>
        <w:spacing w:after="0" w:line="240" w:lineRule="auto"/>
      </w:pPr>
      <w:r>
        <w:separator/>
      </w:r>
    </w:p>
  </w:footnote>
  <w:footnote w:type="continuationSeparator" w:id="1">
    <w:p w:rsidR="00E872B1" w:rsidRDefault="00E872B1" w:rsidP="00AA067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672" w:rsidRDefault="00E352CF">
    <w:pPr>
      <w:pStyle w:val="Cabealho"/>
    </w:pPr>
    <w:r>
      <w:rPr>
        <w:noProof/>
      </w:rPr>
      <w:pict>
        <v:shapetype id="_x0000_t202" coordsize="21600,21600" o:spt="202" path="m,l,21600r21600,l21600,xe">
          <v:stroke joinstyle="miter"/>
          <v:path gradientshapeok="t" o:connecttype="rect"/>
        </v:shapetype>
        <v:shape id="Caixa de Texto 2" o:spid="_x0000_s1026" type="#_x0000_t202" style="position:absolute;margin-left:236.65pt;margin-top:-16.6pt;width:257.25pt;height:60.65pt;z-index:251665408;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" filled="f" stroked="f">
          <v:textbox>
            <w:txbxContent>
              <w:p w:rsidR="00F51B37" w:rsidRDefault="00F51B37" w:rsidP="003506B8">
                <w:pPr>
                  <w:spacing w:line="240" w:lineRule="auto"/>
                  <w:jc w:val="right"/>
                  <w:rPr>
                    <w:rFonts w:ascii="Times New Roman" w:hAnsi="Times New Roman" w:cs="Times New Roman"/>
                    <w:sz w:val="20"/>
                    <w:szCs w:val="20"/>
                  </w:rPr>
                </w:pPr>
                <w:r w:rsidRPr="00F51B37">
                  <w:rPr>
                    <w:rFonts w:ascii="Times New Roman" w:hAnsi="Times New Roman" w:cs="Times New Roman"/>
                    <w:sz w:val="20"/>
                    <w:szCs w:val="20"/>
                  </w:rPr>
                  <w:t xml:space="preserve">Estado do Rio Grande do Sul </w:t>
                </w:r>
                <w:r w:rsidRPr="00F51B37">
                  <w:rPr>
                    <w:rFonts w:ascii="Times New Roman" w:hAnsi="Times New Roman" w:cs="Times New Roman"/>
                    <w:sz w:val="20"/>
                    <w:szCs w:val="20"/>
                  </w:rPr>
                  <w:br/>
                </w:r>
                <w:r w:rsidRPr="00F51B37">
                  <w:rPr>
                    <w:rFonts w:ascii="Times New Roman" w:hAnsi="Times New Roman" w:cs="Times New Roman"/>
                    <w:b/>
                    <w:bCs/>
                    <w:sz w:val="20"/>
                    <w:szCs w:val="20"/>
                  </w:rPr>
                  <w:t>Prefeitura Municipal de Rosário do Sul</w:t>
                </w:r>
                <w:r w:rsidRPr="00F51B37">
                  <w:rPr>
                    <w:rFonts w:ascii="Times New Roman" w:hAnsi="Times New Roman" w:cs="Times New Roman"/>
                    <w:sz w:val="20"/>
                    <w:szCs w:val="20"/>
                  </w:rPr>
                  <w:br/>
                </w:r>
                <w:r w:rsidR="00B648E5">
                  <w:rPr>
                    <w:rFonts w:ascii="Times New Roman" w:hAnsi="Times New Roman" w:cs="Times New Roman"/>
                    <w:sz w:val="20"/>
                    <w:szCs w:val="20"/>
                  </w:rPr>
                  <w:t>Departamento de Compras e Patrimônio/Fazenda</w:t>
                </w:r>
              </w:p>
              <w:p w:rsidR="00B648E5" w:rsidRPr="00F51B37" w:rsidRDefault="00B648E5" w:rsidP="003506B8">
                <w:pPr>
                  <w:spacing w:line="240" w:lineRule="auto"/>
                  <w:jc w:val="right"/>
                  <w:rPr>
                    <w:rFonts w:ascii="Times New Roman" w:hAnsi="Times New Roman" w:cs="Times New Roman"/>
                    <w:sz w:val="20"/>
                    <w:szCs w:val="20"/>
                  </w:rPr>
                </w:pPr>
              </w:p>
              <w:p w:rsidR="00F51B37" w:rsidRDefault="00F51B37" w:rsidP="00F51B37">
                <w:pPr>
                  <w:jc w:val="right"/>
                </w:pPr>
              </w:p>
            </w:txbxContent>
          </v:textbox>
          <w10:wrap type="square"/>
        </v:shape>
      </w:pict>
    </w:r>
    <w:r w:rsidR="003506B8">
      <w:rPr>
        <w:noProof/>
        <w:lang w:eastAsia="pt-BR"/>
      </w:rPr>
      <w:drawing>
        <wp:anchor distT="0" distB="0" distL="114300" distR="114300" simplePos="0" relativeHeight="251658240" behindDoc="0" locked="0" layoutInCell="1" allowOverlap="1">
          <wp:simplePos x="0" y="0"/>
          <wp:positionH relativeFrom="margin">
            <wp:align>center</wp:align>
          </wp:positionH>
          <wp:positionV relativeFrom="margin">
            <wp:posOffset>-861695</wp:posOffset>
          </wp:positionV>
          <wp:extent cx="1204595" cy="1009650"/>
          <wp:effectExtent l="0" t="0" r="0" b="0"/>
          <wp:wrapSquare wrapText="bothSides"/>
          <wp:docPr id="207550541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505418" name="Imagem 2075505418"/>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204595" cy="1009650"/>
                  </a:xfrm>
                  <a:prstGeom prst="rect">
                    <a:avLst/>
                  </a:prstGeom>
                </pic:spPr>
              </pic:pic>
            </a:graphicData>
          </a:graphic>
        </wp:anchor>
      </w:drawing>
    </w:r>
    <w:r>
      <w:rPr>
        <w:noProof/>
      </w:rPr>
      <w:pict>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elogramo 3" o:spid="_x0000_s1033" type="#_x0000_t7" style="position:absolute;margin-left:-117.05pt;margin-top:-53.65pt;width:249pt;height:42.75pt;z-index:25166028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" adj="927" fillcolor="#fbf61e" strokecolor="white [3201]" strokeweight="1.5pt"/>
      </w:pict>
    </w:r>
    <w:r>
      <w:rPr>
        <w:noProof/>
      </w:rPr>
      <w:pict>
        <v:shape id="_x0000_s1032" type="#_x0000_t7" style="position:absolute;margin-left:-145.15pt;margin-top:-53.45pt;width:249pt;height:42.75pt;z-index:25166233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" adj="927" fillcolor="#3c3" strokecolor="white [3201]" strokeweight="1.5pt"/>
      </w:pict>
    </w:r>
    <w:r>
      <w:rPr>
        <w:noProof/>
      </w:rPr>
      <w:pict>
        <v:rect id="Retângulo 4" o:spid="_x0000_s1031" style="position:absolute;margin-left:-8.25pt;margin-top:-35.4pt;width:602.25pt;height:12pt;z-index:251663360;visibility:visible;mso-position-horizontal-relative:page;mso-position-vertical-relative:text;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" fillcolor="#090" strokecolor="white [3212]" strokeweight="1pt">
          <w10:wrap anchorx="page"/>
        </v:rec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A6135C"/>
    <w:multiLevelType w:val="multilevel"/>
    <w:tmpl w:val="39340228"/>
    <w:lvl w:ilvl="0">
      <w:start w:val="1"/>
      <w:numFmt w:val="decimal"/>
      <w:lvlText w:val="%1."/>
      <w:lvlJc w:val="left"/>
      <w:pPr>
        <w:ind w:left="360" w:hanging="360"/>
      </w:pPr>
      <w:rPr>
        <w:rFonts w:hint="default"/>
        <w:b/>
        <w:bCs/>
        <w:color w:val="auto"/>
      </w:rPr>
    </w:lvl>
    <w:lvl w:ilvl="1">
      <w:start w:val="1"/>
      <w:numFmt w:val="decimal"/>
      <w:lvlText w:val="%1.%2."/>
      <w:lvlJc w:val="left"/>
      <w:pPr>
        <w:ind w:left="858" w:hanging="432"/>
      </w:pPr>
      <w:rPr>
        <w:b/>
        <w:bCs/>
        <w:color w:val="auto"/>
      </w:rPr>
    </w:lvl>
    <w:lvl w:ilvl="2">
      <w:start w:val="1"/>
      <w:numFmt w:val="decimal"/>
      <w:lvlText w:val="%1.%2.%3."/>
      <w:lvlJc w:val="left"/>
      <w:pPr>
        <w:ind w:left="930" w:hanging="504"/>
      </w:pPr>
      <w:rPr>
        <w:b/>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1D5C100D"/>
    <w:multiLevelType w:val="multilevel"/>
    <w:tmpl w:val="5A82BCE0"/>
    <w:lvl w:ilvl="0">
      <w:start w:val="1"/>
      <w:numFmt w:val="decimal"/>
      <w:pStyle w:val="Nivel01"/>
      <w:lvlText w:val="%1."/>
      <w:lvlJc w:val="left"/>
      <w:pPr>
        <w:ind w:left="360" w:hanging="360"/>
      </w:pPr>
      <w:rPr>
        <w:b/>
      </w:rPr>
    </w:lvl>
    <w:lvl w:ilvl="1">
      <w:start w:val="1"/>
      <w:numFmt w:val="decimal"/>
      <w:pStyle w:val="Nivel2"/>
      <w:lvlText w:val="%1.%2."/>
      <w:lvlJc w:val="left"/>
      <w:pPr>
        <w:ind w:left="1000" w:hanging="432"/>
      </w:pPr>
      <w:rPr>
        <w:b w:val="0"/>
        <w:i w:val="0"/>
        <w:strike w:val="0"/>
        <w:color w:val="auto"/>
        <w:sz w:val="20"/>
        <w:szCs w:val="20"/>
        <w:u w:val="none"/>
      </w:rPr>
    </w:lvl>
    <w:lvl w:ilvl="2">
      <w:start w:val="1"/>
      <w:numFmt w:val="decimal"/>
      <w:pStyle w:val="Nivel3"/>
      <w:lvlText w:val="%1.%2.%3."/>
      <w:lvlJc w:val="left"/>
      <w:pPr>
        <w:ind w:left="3198" w:hanging="504"/>
      </w:pPr>
      <w:rPr>
        <w:rFonts w:ascii="Arial" w:hAnsi="Arial" w:cs="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6B16767E"/>
    <w:multiLevelType w:val="multilevel"/>
    <w:tmpl w:val="16E0DB02"/>
    <w:lvl w:ilvl="0">
      <w:start w:val="1"/>
      <w:numFmt w:val="lowerLetter"/>
      <w:lvlText w:val="%1)"/>
      <w:lvlJc w:val="left"/>
      <w:pPr>
        <w:tabs>
          <w:tab w:val="num" w:pos="0"/>
        </w:tabs>
        <w:ind w:left="2988" w:hanging="360"/>
      </w:pPr>
    </w:lvl>
    <w:lvl w:ilvl="1">
      <w:start w:val="1"/>
      <w:numFmt w:val="lowerLetter"/>
      <w:lvlText w:val="%2."/>
      <w:lvlJc w:val="left"/>
      <w:pPr>
        <w:tabs>
          <w:tab w:val="num" w:pos="0"/>
        </w:tabs>
        <w:ind w:left="3708" w:hanging="360"/>
      </w:pPr>
    </w:lvl>
    <w:lvl w:ilvl="2">
      <w:start w:val="1"/>
      <w:numFmt w:val="lowerRoman"/>
      <w:lvlText w:val="%3."/>
      <w:lvlJc w:val="right"/>
      <w:pPr>
        <w:tabs>
          <w:tab w:val="num" w:pos="0"/>
        </w:tabs>
        <w:ind w:left="4428" w:hanging="180"/>
      </w:pPr>
    </w:lvl>
    <w:lvl w:ilvl="3">
      <w:start w:val="1"/>
      <w:numFmt w:val="decimal"/>
      <w:lvlText w:val="%4."/>
      <w:lvlJc w:val="left"/>
      <w:pPr>
        <w:tabs>
          <w:tab w:val="num" w:pos="0"/>
        </w:tabs>
        <w:ind w:left="5148" w:hanging="360"/>
      </w:pPr>
    </w:lvl>
    <w:lvl w:ilvl="4">
      <w:start w:val="1"/>
      <w:numFmt w:val="lowerLetter"/>
      <w:lvlText w:val="%5."/>
      <w:lvlJc w:val="left"/>
      <w:pPr>
        <w:tabs>
          <w:tab w:val="num" w:pos="0"/>
        </w:tabs>
        <w:ind w:left="5868" w:hanging="360"/>
      </w:pPr>
    </w:lvl>
    <w:lvl w:ilvl="5">
      <w:start w:val="1"/>
      <w:numFmt w:val="lowerRoman"/>
      <w:lvlText w:val="%6."/>
      <w:lvlJc w:val="right"/>
      <w:pPr>
        <w:tabs>
          <w:tab w:val="num" w:pos="0"/>
        </w:tabs>
        <w:ind w:left="6588" w:hanging="180"/>
      </w:pPr>
    </w:lvl>
    <w:lvl w:ilvl="6">
      <w:start w:val="1"/>
      <w:numFmt w:val="decimal"/>
      <w:lvlText w:val="%7."/>
      <w:lvlJc w:val="left"/>
      <w:pPr>
        <w:tabs>
          <w:tab w:val="num" w:pos="0"/>
        </w:tabs>
        <w:ind w:left="7308" w:hanging="360"/>
      </w:pPr>
    </w:lvl>
    <w:lvl w:ilvl="7">
      <w:start w:val="1"/>
      <w:numFmt w:val="lowerLetter"/>
      <w:lvlText w:val="%8."/>
      <w:lvlJc w:val="left"/>
      <w:pPr>
        <w:tabs>
          <w:tab w:val="num" w:pos="0"/>
        </w:tabs>
        <w:ind w:left="8028" w:hanging="360"/>
      </w:pPr>
    </w:lvl>
    <w:lvl w:ilvl="8">
      <w:start w:val="1"/>
      <w:numFmt w:val="lowerRoman"/>
      <w:lvlText w:val="%9."/>
      <w:lvlJc w:val="right"/>
      <w:pPr>
        <w:tabs>
          <w:tab w:val="num" w:pos="0"/>
        </w:tabs>
        <w:ind w:left="8748" w:hanging="180"/>
      </w:pPr>
    </w:lvl>
  </w:abstractNum>
  <w:num w:numId="1">
    <w:abstractNumId w:val="0"/>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12290"/>
    <o:shapelayout v:ext="edit">
      <o:idmap v:ext="edit" data="1"/>
    </o:shapelayout>
  </w:hdrShapeDefaults>
  <w:footnotePr>
    <w:footnote w:id="0"/>
    <w:footnote w:id="1"/>
  </w:footnotePr>
  <w:endnotePr>
    <w:endnote w:id="0"/>
    <w:endnote w:id="1"/>
  </w:endnotePr>
  <w:compat/>
  <w:rsids>
    <w:rsidRoot w:val="00AA0672"/>
    <w:rsid w:val="00000E03"/>
    <w:rsid w:val="0002546F"/>
    <w:rsid w:val="001B5E02"/>
    <w:rsid w:val="002432DB"/>
    <w:rsid w:val="00332E5D"/>
    <w:rsid w:val="003506B8"/>
    <w:rsid w:val="00375B95"/>
    <w:rsid w:val="004C54A7"/>
    <w:rsid w:val="00530431"/>
    <w:rsid w:val="005E010E"/>
    <w:rsid w:val="00882459"/>
    <w:rsid w:val="008C5D12"/>
    <w:rsid w:val="00A37E5A"/>
    <w:rsid w:val="00AA0672"/>
    <w:rsid w:val="00B06AFF"/>
    <w:rsid w:val="00B648E5"/>
    <w:rsid w:val="00BB3B4A"/>
    <w:rsid w:val="00C2606A"/>
    <w:rsid w:val="00CB4ECB"/>
    <w:rsid w:val="00CF6628"/>
    <w:rsid w:val="00D12705"/>
    <w:rsid w:val="00D15BC2"/>
    <w:rsid w:val="00D61A9B"/>
    <w:rsid w:val="00E352CF"/>
    <w:rsid w:val="00E872B1"/>
    <w:rsid w:val="00F51B37"/>
    <w:rsid w:val="00FA217D"/>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annotation reference" w:uiPriority="0"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46F"/>
  </w:style>
  <w:style w:type="paragraph" w:styleId="Ttulo1">
    <w:name w:val="heading 1"/>
    <w:basedOn w:val="Normal"/>
    <w:next w:val="Normal"/>
    <w:link w:val="Ttulo1Char"/>
    <w:uiPriority w:val="9"/>
    <w:qFormat/>
    <w:rsid w:val="00AA067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AA067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AA0672"/>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AA0672"/>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AA0672"/>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AA067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AA067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AA067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AA0672"/>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AA0672"/>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AA0672"/>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AA0672"/>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AA0672"/>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AA0672"/>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AA0672"/>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AA0672"/>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AA0672"/>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AA0672"/>
    <w:rPr>
      <w:rFonts w:eastAsiaTheme="majorEastAsia" w:cstheme="majorBidi"/>
      <w:color w:val="272727" w:themeColor="text1" w:themeTint="D8"/>
    </w:rPr>
  </w:style>
  <w:style w:type="paragraph" w:styleId="Ttulo">
    <w:name w:val="Title"/>
    <w:basedOn w:val="Normal"/>
    <w:next w:val="Normal"/>
    <w:link w:val="TtuloChar"/>
    <w:uiPriority w:val="10"/>
    <w:qFormat/>
    <w:rsid w:val="00AA06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AA067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AA0672"/>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AA0672"/>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AA0672"/>
    <w:pPr>
      <w:spacing w:before="160"/>
      <w:jc w:val="center"/>
    </w:pPr>
    <w:rPr>
      <w:i/>
      <w:iCs/>
      <w:color w:val="404040" w:themeColor="text1" w:themeTint="BF"/>
    </w:rPr>
  </w:style>
  <w:style w:type="character" w:customStyle="1" w:styleId="CitaoChar">
    <w:name w:val="Citação Char"/>
    <w:basedOn w:val="Fontepargpadro"/>
    <w:link w:val="Citao"/>
    <w:uiPriority w:val="29"/>
    <w:rsid w:val="00AA0672"/>
    <w:rPr>
      <w:i/>
      <w:iCs/>
      <w:color w:val="404040" w:themeColor="text1" w:themeTint="BF"/>
    </w:rPr>
  </w:style>
  <w:style w:type="paragraph" w:styleId="PargrafodaLista">
    <w:name w:val="List Paragraph"/>
    <w:aliases w:val="List I Paragraph,Parágrafo com marcador - inserir marcador,Parágrafo_2,Segundo,Texto,Título 10"/>
    <w:basedOn w:val="Normal"/>
    <w:link w:val="PargrafodaListaChar"/>
    <w:uiPriority w:val="34"/>
    <w:qFormat/>
    <w:rsid w:val="00AA0672"/>
    <w:pPr>
      <w:ind w:left="720"/>
      <w:contextualSpacing/>
    </w:pPr>
  </w:style>
  <w:style w:type="character" w:styleId="nfaseIntensa">
    <w:name w:val="Intense Emphasis"/>
    <w:basedOn w:val="Fontepargpadro"/>
    <w:uiPriority w:val="21"/>
    <w:qFormat/>
    <w:rsid w:val="00AA0672"/>
    <w:rPr>
      <w:i/>
      <w:iCs/>
      <w:color w:val="2F5496" w:themeColor="accent1" w:themeShade="BF"/>
    </w:rPr>
  </w:style>
  <w:style w:type="paragraph" w:styleId="CitaoIntensa">
    <w:name w:val="Intense Quote"/>
    <w:basedOn w:val="Normal"/>
    <w:next w:val="Normal"/>
    <w:link w:val="CitaoIntensaChar"/>
    <w:uiPriority w:val="30"/>
    <w:qFormat/>
    <w:rsid w:val="00AA067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AA0672"/>
    <w:rPr>
      <w:i/>
      <w:iCs/>
      <w:color w:val="2F5496" w:themeColor="accent1" w:themeShade="BF"/>
    </w:rPr>
  </w:style>
  <w:style w:type="character" w:styleId="RefernciaIntensa">
    <w:name w:val="Intense Reference"/>
    <w:basedOn w:val="Fontepargpadro"/>
    <w:uiPriority w:val="32"/>
    <w:qFormat/>
    <w:rsid w:val="00AA0672"/>
    <w:rPr>
      <w:b/>
      <w:bCs/>
      <w:smallCaps/>
      <w:color w:val="2F5496" w:themeColor="accent1" w:themeShade="BF"/>
      <w:spacing w:val="5"/>
    </w:rPr>
  </w:style>
  <w:style w:type="paragraph" w:styleId="Cabealho">
    <w:name w:val="header"/>
    <w:basedOn w:val="Normal"/>
    <w:link w:val="CabealhoChar"/>
    <w:uiPriority w:val="99"/>
    <w:unhideWhenUsed/>
    <w:rsid w:val="00AA0672"/>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A0672"/>
  </w:style>
  <w:style w:type="paragraph" w:styleId="Rodap">
    <w:name w:val="footer"/>
    <w:basedOn w:val="Normal"/>
    <w:link w:val="RodapChar"/>
    <w:uiPriority w:val="99"/>
    <w:unhideWhenUsed/>
    <w:rsid w:val="00AA0672"/>
    <w:pPr>
      <w:tabs>
        <w:tab w:val="center" w:pos="4252"/>
        <w:tab w:val="right" w:pos="8504"/>
      </w:tabs>
      <w:spacing w:after="0" w:line="240" w:lineRule="auto"/>
    </w:pPr>
  </w:style>
  <w:style w:type="character" w:customStyle="1" w:styleId="RodapChar">
    <w:name w:val="Rodapé Char"/>
    <w:basedOn w:val="Fontepargpadro"/>
    <w:link w:val="Rodap"/>
    <w:uiPriority w:val="99"/>
    <w:rsid w:val="00AA0672"/>
  </w:style>
  <w:style w:type="paragraph" w:styleId="Corpodetexto">
    <w:name w:val="Body Text"/>
    <w:basedOn w:val="Normal"/>
    <w:link w:val="CorpodetextoChar"/>
    <w:uiPriority w:val="1"/>
    <w:qFormat/>
    <w:rsid w:val="00FA217D"/>
    <w:pPr>
      <w:widowControl w:val="0"/>
      <w:autoSpaceDE w:val="0"/>
      <w:autoSpaceDN w:val="0"/>
      <w:spacing w:after="0" w:line="240" w:lineRule="auto"/>
    </w:pPr>
    <w:rPr>
      <w:rFonts w:ascii="Arial MT" w:eastAsia="Arial MT" w:hAnsi="Arial MT" w:cs="Arial MT"/>
      <w:kern w:val="0"/>
      <w:sz w:val="19"/>
      <w:szCs w:val="19"/>
      <w:lang w:val="pt-PT"/>
    </w:rPr>
  </w:style>
  <w:style w:type="character" w:customStyle="1" w:styleId="CorpodetextoChar">
    <w:name w:val="Corpo de texto Char"/>
    <w:basedOn w:val="Fontepargpadro"/>
    <w:link w:val="Corpodetexto"/>
    <w:uiPriority w:val="1"/>
    <w:rsid w:val="00FA217D"/>
    <w:rPr>
      <w:rFonts w:ascii="Arial MT" w:eastAsia="Arial MT" w:hAnsi="Arial MT" w:cs="Arial MT"/>
      <w:kern w:val="0"/>
      <w:sz w:val="19"/>
      <w:szCs w:val="19"/>
      <w:lang w:val="pt-PT"/>
    </w:rPr>
  </w:style>
  <w:style w:type="character" w:styleId="Refdecomentrio">
    <w:name w:val="annotation reference"/>
    <w:basedOn w:val="Fontepargpadro"/>
    <w:unhideWhenUsed/>
    <w:qFormat/>
    <w:rsid w:val="00FA217D"/>
    <w:rPr>
      <w:sz w:val="16"/>
      <w:szCs w:val="16"/>
    </w:rPr>
  </w:style>
  <w:style w:type="paragraph" w:styleId="Textodecomentrio">
    <w:name w:val="annotation text"/>
    <w:basedOn w:val="Normal"/>
    <w:link w:val="TextodecomentrioChar"/>
    <w:uiPriority w:val="99"/>
    <w:unhideWhenUsed/>
    <w:qFormat/>
    <w:rsid w:val="00FA217D"/>
    <w:pPr>
      <w:spacing w:after="200" w:line="240" w:lineRule="auto"/>
    </w:pPr>
    <w:rPr>
      <w:kern w:val="0"/>
      <w:sz w:val="20"/>
      <w:szCs w:val="20"/>
    </w:rPr>
  </w:style>
  <w:style w:type="character" w:customStyle="1" w:styleId="TextodecomentrioChar">
    <w:name w:val="Texto de comentário Char"/>
    <w:basedOn w:val="Fontepargpadro"/>
    <w:link w:val="Textodecomentrio"/>
    <w:uiPriority w:val="99"/>
    <w:qFormat/>
    <w:rsid w:val="00FA217D"/>
    <w:rPr>
      <w:kern w:val="0"/>
      <w:sz w:val="20"/>
      <w:szCs w:val="20"/>
    </w:rPr>
  </w:style>
  <w:style w:type="character" w:customStyle="1" w:styleId="PargrafodaListaChar">
    <w:name w:val="Parágrafo da Lista Char"/>
    <w:aliases w:val="List I Paragraph Char,Parágrafo com marcador - inserir marcador Char,Parágrafo_2 Char,Segundo Char,Texto Char,Título 10 Char"/>
    <w:link w:val="PargrafodaLista"/>
    <w:uiPriority w:val="34"/>
    <w:qFormat/>
    <w:locked/>
    <w:rsid w:val="00FA217D"/>
  </w:style>
  <w:style w:type="character" w:styleId="Hyperlink">
    <w:name w:val="Hyperlink"/>
    <w:rsid w:val="00FA217D"/>
    <w:rPr>
      <w:color w:val="000080"/>
      <w:u w:val="single"/>
    </w:rPr>
  </w:style>
  <w:style w:type="paragraph" w:customStyle="1" w:styleId="Nivel01">
    <w:name w:val="Nivel 01"/>
    <w:basedOn w:val="Ttulo1"/>
    <w:next w:val="Normal"/>
    <w:link w:val="Nivel01Char"/>
    <w:qFormat/>
    <w:rsid w:val="00FA217D"/>
    <w:pPr>
      <w:numPr>
        <w:numId w:val="2"/>
      </w:numPr>
      <w:tabs>
        <w:tab w:val="left" w:pos="567"/>
      </w:tabs>
      <w:spacing w:before="240" w:after="0" w:line="240" w:lineRule="auto"/>
      <w:jc w:val="both"/>
    </w:pPr>
    <w:rPr>
      <w:rFonts w:ascii="Arial" w:hAnsi="Arial" w:cs="Arial"/>
      <w:b/>
      <w:bCs/>
      <w:color w:val="auto"/>
      <w:kern w:val="0"/>
      <w:sz w:val="20"/>
      <w:szCs w:val="20"/>
      <w:lang w:eastAsia="pt-BR"/>
    </w:rPr>
  </w:style>
  <w:style w:type="character" w:customStyle="1" w:styleId="Nivel01Char">
    <w:name w:val="Nivel 01 Char"/>
    <w:basedOn w:val="Fontepargpadro"/>
    <w:link w:val="Nivel01"/>
    <w:rsid w:val="00FA217D"/>
    <w:rPr>
      <w:rFonts w:ascii="Arial" w:eastAsiaTheme="majorEastAsia" w:hAnsi="Arial" w:cs="Arial"/>
      <w:b/>
      <w:bCs/>
      <w:kern w:val="0"/>
      <w:sz w:val="20"/>
      <w:szCs w:val="20"/>
      <w:lang w:eastAsia="pt-BR"/>
    </w:rPr>
  </w:style>
  <w:style w:type="paragraph" w:customStyle="1" w:styleId="Nivel2">
    <w:name w:val="Nivel 2"/>
    <w:basedOn w:val="Normal"/>
    <w:link w:val="Nivel2Char"/>
    <w:qFormat/>
    <w:rsid w:val="00FA217D"/>
    <w:pPr>
      <w:numPr>
        <w:ilvl w:val="1"/>
        <w:numId w:val="2"/>
      </w:numPr>
      <w:spacing w:before="120" w:after="120" w:line="276" w:lineRule="auto"/>
      <w:ind w:left="0" w:firstLine="0"/>
      <w:jc w:val="both"/>
    </w:pPr>
    <w:rPr>
      <w:rFonts w:ascii="Arial" w:eastAsiaTheme="minorEastAsia" w:hAnsi="Arial" w:cs="Arial"/>
      <w:color w:val="000000"/>
      <w:kern w:val="0"/>
      <w:sz w:val="20"/>
      <w:szCs w:val="20"/>
      <w:lang w:eastAsia="pt-BR"/>
    </w:rPr>
  </w:style>
  <w:style w:type="paragraph" w:customStyle="1" w:styleId="Nivel3">
    <w:name w:val="Nivel 3"/>
    <w:basedOn w:val="Normal"/>
    <w:link w:val="Nivel3Char"/>
    <w:qFormat/>
    <w:rsid w:val="00FA217D"/>
    <w:pPr>
      <w:numPr>
        <w:ilvl w:val="2"/>
        <w:numId w:val="2"/>
      </w:numPr>
      <w:spacing w:before="120" w:after="120" w:line="276" w:lineRule="auto"/>
      <w:ind w:left="425" w:firstLine="0"/>
      <w:jc w:val="both"/>
    </w:pPr>
    <w:rPr>
      <w:rFonts w:ascii="Arial" w:eastAsiaTheme="minorEastAsia" w:hAnsi="Arial" w:cs="Arial"/>
      <w:color w:val="000000"/>
      <w:kern w:val="0"/>
      <w:sz w:val="20"/>
      <w:szCs w:val="20"/>
      <w:lang w:eastAsia="pt-BR"/>
    </w:rPr>
  </w:style>
  <w:style w:type="paragraph" w:customStyle="1" w:styleId="Nivel4">
    <w:name w:val="Nivel 4"/>
    <w:basedOn w:val="Nivel3"/>
    <w:qFormat/>
    <w:rsid w:val="00FA217D"/>
    <w:pPr>
      <w:numPr>
        <w:ilvl w:val="3"/>
      </w:numPr>
      <w:ind w:left="851" w:firstLine="0"/>
    </w:pPr>
    <w:rPr>
      <w:color w:val="auto"/>
    </w:rPr>
  </w:style>
  <w:style w:type="paragraph" w:customStyle="1" w:styleId="Nivel5">
    <w:name w:val="Nivel 5"/>
    <w:basedOn w:val="Nivel4"/>
    <w:qFormat/>
    <w:rsid w:val="00FA217D"/>
    <w:pPr>
      <w:numPr>
        <w:ilvl w:val="4"/>
      </w:numPr>
      <w:ind w:left="1276" w:firstLine="0"/>
    </w:pPr>
  </w:style>
  <w:style w:type="character" w:customStyle="1" w:styleId="Nivel2Char">
    <w:name w:val="Nivel 2 Char"/>
    <w:basedOn w:val="Fontepargpadro"/>
    <w:link w:val="Nivel2"/>
    <w:locked/>
    <w:rsid w:val="00FA217D"/>
    <w:rPr>
      <w:rFonts w:ascii="Arial" w:eastAsiaTheme="minorEastAsia" w:hAnsi="Arial" w:cs="Arial"/>
      <w:color w:val="000000"/>
      <w:kern w:val="0"/>
      <w:sz w:val="20"/>
      <w:szCs w:val="20"/>
      <w:lang w:eastAsia="pt-BR"/>
    </w:rPr>
  </w:style>
  <w:style w:type="paragraph" w:customStyle="1" w:styleId="Nvel2-Red">
    <w:name w:val="Nível 2 -Red"/>
    <w:basedOn w:val="Nivel2"/>
    <w:link w:val="Nvel2-RedChar"/>
    <w:qFormat/>
    <w:rsid w:val="00FA217D"/>
    <w:rPr>
      <w:i/>
      <w:iCs/>
      <w:color w:val="FF0000"/>
    </w:rPr>
  </w:style>
  <w:style w:type="character" w:customStyle="1" w:styleId="Nvel2-RedChar">
    <w:name w:val="Nível 2 -Red Char"/>
    <w:basedOn w:val="Nivel2Char"/>
    <w:link w:val="Nvel2-Red"/>
    <w:rsid w:val="00FA217D"/>
    <w:rPr>
      <w:i/>
      <w:iCs/>
      <w:color w:val="FF0000"/>
    </w:rPr>
  </w:style>
  <w:style w:type="character" w:customStyle="1" w:styleId="Nivel3Char">
    <w:name w:val="Nivel 3 Char"/>
    <w:basedOn w:val="Fontepargpadro"/>
    <w:link w:val="Nivel3"/>
    <w:rsid w:val="00FA217D"/>
    <w:rPr>
      <w:rFonts w:ascii="Arial" w:eastAsiaTheme="minorEastAsia" w:hAnsi="Arial" w:cs="Arial"/>
      <w:color w:val="000000"/>
      <w:kern w:val="0"/>
      <w:sz w:val="20"/>
      <w:szCs w:val="20"/>
      <w:lang w:eastAsia="pt-BR"/>
    </w:rPr>
  </w:style>
  <w:style w:type="paragraph" w:customStyle="1" w:styleId="Nvel1-SemNum">
    <w:name w:val="Nível 1-Sem Num"/>
    <w:basedOn w:val="Nivel01"/>
    <w:link w:val="Nvel1-SemNumChar"/>
    <w:qFormat/>
    <w:rsid w:val="00FA217D"/>
    <w:pPr>
      <w:numPr>
        <w:numId w:val="0"/>
      </w:numPr>
      <w:ind w:left="357"/>
      <w:outlineLvl w:val="1"/>
    </w:pPr>
    <w:rPr>
      <w:color w:val="FF0000"/>
    </w:rPr>
  </w:style>
  <w:style w:type="character" w:customStyle="1" w:styleId="Nvel1-SemNumChar">
    <w:name w:val="Nível 1-Sem Num Char"/>
    <w:basedOn w:val="Nivel01Char"/>
    <w:link w:val="Nvel1-SemNum"/>
    <w:rsid w:val="00FA217D"/>
    <w:rPr>
      <w:color w:val="FF0000"/>
    </w:rPr>
  </w:style>
  <w:style w:type="paragraph" w:styleId="NormalWeb">
    <w:name w:val="Normal (Web)"/>
    <w:basedOn w:val="Normal"/>
    <w:uiPriority w:val="99"/>
    <w:unhideWhenUsed/>
    <w:rsid w:val="00FA217D"/>
    <w:pPr>
      <w:spacing w:before="100" w:beforeAutospacing="1" w:after="100" w:afterAutospacing="1" w:line="240" w:lineRule="auto"/>
    </w:pPr>
    <w:rPr>
      <w:rFonts w:ascii="Times New Roman" w:eastAsia="Times New Roman" w:hAnsi="Times New Roman" w:cs="Times New Roman"/>
      <w:kern w:val="0"/>
      <w:lang w:eastAsia="pt-BR"/>
    </w:rPr>
  </w:style>
  <w:style w:type="character" w:styleId="Forte">
    <w:name w:val="Strong"/>
    <w:basedOn w:val="Fontepargpadro"/>
    <w:uiPriority w:val="22"/>
    <w:qFormat/>
    <w:rsid w:val="00FA217D"/>
    <w:rPr>
      <w:b/>
      <w:bCs/>
    </w:rPr>
  </w:style>
  <w:style w:type="paragraph" w:styleId="Textodebalo">
    <w:name w:val="Balloon Text"/>
    <w:basedOn w:val="Normal"/>
    <w:link w:val="TextodebaloChar"/>
    <w:uiPriority w:val="99"/>
    <w:semiHidden/>
    <w:unhideWhenUsed/>
    <w:rsid w:val="00FA217D"/>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FA217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comments.xml.rels><?xml version="1.0" encoding="UTF-8" standalone="yes"?>
<Relationships xmlns="http://schemas.openxmlformats.org/package/2006/relationships"><Relationship Id="rId8" Type="http://schemas.openxmlformats.org/officeDocument/2006/relationships/hyperlink" Target="http://www.planalto.gov.br/ccivil_03/_ato2019-2022/2021/lei/L14133.htm" TargetMode="External"/><Relationship Id="rId13" Type="http://schemas.openxmlformats.org/officeDocument/2006/relationships/hyperlink" Target="https://www.planalto.gov.br/ccivil_03/constituicao/constituicao.htm" TargetMode="External"/><Relationship Id="rId18" Type="http://schemas.openxmlformats.org/officeDocument/2006/relationships/hyperlink" Target="https://www.gov.br/compras/pt-br/acesso-a-informacao/legislacao/instrucoes-normativas/instrucao-normativa-seges-me-no-65-de-7-de-julho-de-2021" TargetMode="External"/><Relationship Id="rId3" Type="http://schemas.openxmlformats.org/officeDocument/2006/relationships/hyperlink" Target="https://www.in.gov.br/en/web/dou/-/instrucao-normativa-cgnor/me-n-81-de-25-de-novembro-de-2022-446388890" TargetMode="External"/><Relationship Id="rId7" Type="http://schemas.openxmlformats.org/officeDocument/2006/relationships/hyperlink" Target="https://www.gov.br/compras/pt-br/acesso-a-informacao/legislacao/instrucoes-normativas/instrucao-normativa-seges-me-no-81-de-25-de-novembro-de-2022" TargetMode="External"/><Relationship Id="rId12" Type="http://schemas.openxmlformats.org/officeDocument/2006/relationships/hyperlink" Target="https://www.gov.br/compras/pt-br/acesso-a-informacao/legislacao/instrucoes-normativas/instrucao-normativa-seges-me-no-77-de-4-de-novembro-de-2022" TargetMode="External"/><Relationship Id="rId17" Type="http://schemas.openxmlformats.org/officeDocument/2006/relationships/hyperlink" Target="http://www.planalto.gov.br/ccivil_03/_ato2019-2022/2021/lei/L14133.htm" TargetMode="External"/><Relationship Id="rId2" Type="http://schemas.openxmlformats.org/officeDocument/2006/relationships/hyperlink" Target="https://www.gov.br/agu/pt-br/composicao/cgu/cgu/guias/gncs_082022.pdf" TargetMode="External"/><Relationship Id="rId16" Type="http://schemas.openxmlformats.org/officeDocument/2006/relationships/hyperlink" Target="https://www.planalto.gov.br/ccivil_03/constituicao/constituicao.htm" TargetMode="External"/><Relationship Id="rId1" Type="http://schemas.openxmlformats.org/officeDocument/2006/relationships/hyperlink" Target="https://www.gov.br/pncp/pt-br/catalogo-eletronico-de-padronizacao" TargetMode="External"/><Relationship Id="rId6" Type="http://schemas.openxmlformats.org/officeDocument/2006/relationships/hyperlink" Target="https://www.gov.br/compras/pt-br/acesso-a-informacao/legislacao/instrucoes-normativas/instrucao-normativa-seges-me-no-81-de-25-de-novembro-de-2022" TargetMode="External"/><Relationship Id="rId11" Type="http://schemas.openxmlformats.org/officeDocument/2006/relationships/hyperlink" Target="http://www.planalto.gov.br/ccivil_03/_ato2019-2022/2021/lei/L14133.htm" TargetMode="External"/><Relationship Id="rId5" Type="http://schemas.openxmlformats.org/officeDocument/2006/relationships/hyperlink" Target="http://www.planalto.gov.br/ccivil_03/_ato2019-2022/2021/lei/L14133.htm" TargetMode="External"/><Relationship Id="rId15" Type="http://schemas.openxmlformats.org/officeDocument/2006/relationships/hyperlink" Target="http://www.planalto.gov.br/ccivil_03/_ato2019-2022/2021/lei/L14133.htm" TargetMode="External"/><Relationship Id="rId10" Type="http://schemas.openxmlformats.org/officeDocument/2006/relationships/hyperlink" Target="https://www.gov.br/compras/pt-br/acesso-a-informacao/legislacao/instrucoes-normativas/instrucao-normativa-seges-me-no-77-de-4-de-novembro-de-2022" TargetMode="External"/><Relationship Id="rId19" Type="http://schemas.openxmlformats.org/officeDocument/2006/relationships/hyperlink" Target="https://www.gov.br/compras/pt-br/acesso-a-informacao/legislacao/instrucoes-normativas/instrucao-normativa-seges-me-no-81-de-25-de-novembro-de-2022" TargetMode="External"/><Relationship Id="rId4" Type="http://schemas.openxmlformats.org/officeDocument/2006/relationships/hyperlink" Target="https://www.in.gov.br/en/web/dou/-/instrucao-normativa-seges-n-58-de-8-de-agosto-de-2022-421221597" TargetMode="External"/><Relationship Id="rId9" Type="http://schemas.openxmlformats.org/officeDocument/2006/relationships/hyperlink" Target="https://www.planalto.gov.br/ccivil_03/_ato2019-2022/2022/Decreto/D11246.htm" TargetMode="External"/><Relationship Id="rId14" Type="http://schemas.openxmlformats.org/officeDocument/2006/relationships/hyperlink" Target="http://www.planalto.gov.br/ccivil_03/_ato2019-2022/2021/lei/L14133.htm"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www.planalto.gov.br/ccivil_03/_ato2019-2022/2022/Decreto/D11246.htm" TargetMode="External"/><Relationship Id="rId18" Type="http://schemas.openxmlformats.org/officeDocument/2006/relationships/hyperlink" Target="https://www.planalto.gov.br/ccivil_03/_ato2019-2022/2022/Decreto/D11246.htm" TargetMode="External"/><Relationship Id="rId26" Type="http://schemas.openxmlformats.org/officeDocument/2006/relationships/hyperlink" Target="http://www.planalto.gov.br/ccivil_03/_ato2019-2022/2021/lei/L14133.htm" TargetMode="External"/><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planalto.gov.br/ccivil_03/_ato2019-2022/2022/Decreto/D11246.htm" TargetMode="External"/><Relationship Id="rId34" Type="http://schemas.openxmlformats.org/officeDocument/2006/relationships/hyperlink" Target="https://www.planalto.gov.br/ccivil_03/leis/l5764.htm" TargetMode="External"/><Relationship Id="rId7" Type="http://schemas.openxmlformats.org/officeDocument/2006/relationships/endnotes" Target="endnotes.xml"/><Relationship Id="rId12" Type="http://schemas.openxmlformats.org/officeDocument/2006/relationships/hyperlink" Target="https://www.planalto.gov.br/ccivil_03/_ato2019-2022/2022/Decreto/D11246.htm" TargetMode="External"/><Relationship Id="rId17" Type="http://schemas.openxmlformats.org/officeDocument/2006/relationships/hyperlink" Target="https://www.planalto.gov.br/ccivil_03/_ato2019-2022/2022/Decreto/D11246.htm" TargetMode="External"/><Relationship Id="rId25" Type="http://schemas.openxmlformats.org/officeDocument/2006/relationships/hyperlink" Target="http://www.planalto.gov.br/ccivil_03/_ato2019-2022/2021/lei/L14133.htm" TargetMode="External"/><Relationship Id="rId33" Type="http://schemas.openxmlformats.org/officeDocument/2006/relationships/hyperlink" Target="http://www.planalto.gov.br/ccivil_03/_ato2019-2022/2021/lei/L14133.htm" TargetMode="External"/><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planalto.gov.br/ccivil_03/_ato2019-2022/2022/Decreto/D11246.htm" TargetMode="External"/><Relationship Id="rId20" Type="http://schemas.openxmlformats.org/officeDocument/2006/relationships/hyperlink" Target="https://www.planalto.gov.br/ccivil_03/_ato2019-2022/2022/Decreto/D11246.htm" TargetMode="External"/><Relationship Id="rId29" Type="http://schemas.openxmlformats.org/officeDocument/2006/relationships/hyperlink" Target="https://www.gov.br/economia/pt-br/assuntos/drei/legislacao/arquivos/legislacoes-federais/indrei772020.pdf"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lanalto.gov.br/ccivil_03/_ato2019-2022/2022/Decreto/D11246.htm" TargetMode="External"/><Relationship Id="rId24" Type="http://schemas.openxmlformats.org/officeDocument/2006/relationships/hyperlink" Target="https://www.planalto.gov.br/ccivil_03/_ato2019-2022/2022/Decreto/D11246.htm" TargetMode="External"/><Relationship Id="rId32" Type="http://schemas.openxmlformats.org/officeDocument/2006/relationships/hyperlink" Target="https://www.gov.br/trabalho-e-previdencia/pt-br/servicos/empregador/programa-de-alimentacao-do-trabalhador-pat/arquivos-legislacao/instrucoes-normativas/pat_in_971_2009.pdf" TargetMode="External"/><Relationship Id="rId37" Type="http://schemas.openxmlformats.org/officeDocument/2006/relationships/hyperlink" Target="https://www.planalto.gov.br/ccivil_03/leis/l5764.htm"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planalto.gov.br/ccivil_03/_ato2019-2022/2022/Decreto/D11246.htm" TargetMode="External"/><Relationship Id="rId23" Type="http://schemas.openxmlformats.org/officeDocument/2006/relationships/hyperlink" Target="https://www.planalto.gov.br/ccivil_03/_ato2019-2022/2022/Decreto/D11246.htm" TargetMode="External"/><Relationship Id="rId28" Type="http://schemas.openxmlformats.org/officeDocument/2006/relationships/hyperlink" Target="https://www.gov.br/empresas-e-negocios/pt-br/empreendedor" TargetMode="External"/><Relationship Id="rId36" Type="http://schemas.openxmlformats.org/officeDocument/2006/relationships/hyperlink" Target="https://www.planalto.gov.br/ccivil_03/leis/l5764.htm" TargetMode="External"/><Relationship Id="rId10" Type="http://schemas.openxmlformats.org/officeDocument/2006/relationships/hyperlink" Target="http://www.planalto.gov.br/ccivil_03/_ato2019-2022/2021/lei/L14133.htm" TargetMode="External"/><Relationship Id="rId19" Type="http://schemas.openxmlformats.org/officeDocument/2006/relationships/hyperlink" Target="https://www.planalto.gov.br/ccivil_03/_ato2019-2022/2022/Decreto/D11246.htm" TargetMode="External"/><Relationship Id="rId31" Type="http://schemas.openxmlformats.org/officeDocument/2006/relationships/hyperlink" Target="https://www.planalto.gov.br/ccivil_03/_ato2019-2022/2021/decreto/d10880.htm" TargetMode="External"/><Relationship Id="rId4" Type="http://schemas.openxmlformats.org/officeDocument/2006/relationships/settings" Target="settings.xml"/><Relationship Id="rId9" Type="http://schemas.openxmlformats.org/officeDocument/2006/relationships/hyperlink" Target="http://www.planalto.gov.br/ccivil_03/_ato2019-2022/2021/lei/L14133.htm" TargetMode="External"/><Relationship Id="rId14" Type="http://schemas.openxmlformats.org/officeDocument/2006/relationships/hyperlink" Target="https://www.planalto.gov.br/ccivil_03/_ato2019-2022/2022/Decreto/D11246.htm" TargetMode="External"/><Relationship Id="rId22" Type="http://schemas.openxmlformats.org/officeDocument/2006/relationships/hyperlink" Target="https://www.planalto.gov.br/ccivil_03/_ato2019-2022/2022/Decreto/D11246.htm" TargetMode="External"/><Relationship Id="rId27" Type="http://schemas.openxmlformats.org/officeDocument/2006/relationships/hyperlink" Target="https://www.planalto.gov.br/ccivil_03/leis/lcp/lcp123.htm" TargetMode="External"/><Relationship Id="rId30" Type="http://schemas.openxmlformats.org/officeDocument/2006/relationships/hyperlink" Target="https://www.planalto.gov.br/ccivil_03/leis/l5764.htm" TargetMode="External"/><Relationship Id="rId35" Type="http://schemas.openxmlformats.org/officeDocument/2006/relationships/hyperlink" Target="https://www.planalto.gov.br/ccivil_03/leis/l5764.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31F0F4-9D66-4778-A18E-AC136AEE27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12</Pages>
  <Words>3852</Words>
  <Characters>20807</Characters>
  <Application>Microsoft Office Word</Application>
  <DocSecurity>0</DocSecurity>
  <Lines>173</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ADMINISTRACAO2</dc:creator>
  <cp:lastModifiedBy>COMPRAS3</cp:lastModifiedBy>
  <cp:revision>3</cp:revision>
  <cp:lastPrinted>2025-11-03T11:54:00Z</cp:lastPrinted>
  <dcterms:created xsi:type="dcterms:W3CDTF">2026-08-14T11:00:00Z</dcterms:created>
  <dcterms:modified xsi:type="dcterms:W3CDTF">2026-08-14T11:07:00Z</dcterms:modified>
</cp:coreProperties>
</file>